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2A5B" w14:textId="77777777" w:rsidR="008D107A" w:rsidRPr="005B5230" w:rsidRDefault="008D107A">
      <w:pPr>
        <w:rPr>
          <w:rFonts w:ascii="Arial Narrow" w:hAnsi="Arial Narrow"/>
        </w:rPr>
      </w:pPr>
    </w:p>
    <w:p w14:paraId="26011E33" w14:textId="5388295B" w:rsidR="005B5230" w:rsidRPr="00423C80" w:rsidRDefault="008D107A">
      <w:pPr>
        <w:rPr>
          <w:rFonts w:ascii="Arial Narrow" w:hAnsi="Arial Narrow"/>
          <w:b/>
          <w:bCs/>
        </w:rPr>
      </w:pPr>
      <w:r w:rsidRPr="00423C80">
        <w:rPr>
          <w:rFonts w:ascii="Arial Narrow" w:hAnsi="Arial Narrow"/>
          <w:b/>
          <w:bCs/>
        </w:rPr>
        <w:t xml:space="preserve">EU-HTA-Verordnung </w:t>
      </w:r>
      <w:r w:rsidR="00A32F7B" w:rsidRPr="00423C80">
        <w:rPr>
          <w:rFonts w:ascii="Arial Narrow" w:hAnsi="Arial Narrow"/>
          <w:b/>
          <w:bCs/>
        </w:rPr>
        <w:t>Ende letzten Jahres beschlossen und veröffentlicht</w:t>
      </w:r>
    </w:p>
    <w:p w14:paraId="7246F97B" w14:textId="27478963" w:rsidR="00B276E3" w:rsidRDefault="0030489A" w:rsidP="00B276E3">
      <w:pPr>
        <w:rPr>
          <w:rFonts w:ascii="Arial Narrow" w:hAnsi="Arial Narrow"/>
        </w:rPr>
      </w:pPr>
      <w:r>
        <w:rPr>
          <w:rFonts w:ascii="Arial Narrow" w:hAnsi="Arial Narrow"/>
        </w:rPr>
        <w:t>A</w:t>
      </w:r>
      <w:r w:rsidRPr="00EA7669">
        <w:rPr>
          <w:rFonts w:ascii="Arial Narrow" w:hAnsi="Arial Narrow"/>
        </w:rPr>
        <w:t>m 21.12.2021 wurde</w:t>
      </w:r>
      <w:r w:rsidRPr="00423C80" w:rsidDel="00ED543C">
        <w:rPr>
          <w:rFonts w:ascii="Arial Narrow" w:hAnsi="Arial Narrow"/>
          <w:b/>
          <w:bCs/>
        </w:rPr>
        <w:t xml:space="preserve"> </w:t>
      </w:r>
      <w:r>
        <w:rPr>
          <w:rFonts w:ascii="Arial Narrow" w:hAnsi="Arial Narrow"/>
        </w:rPr>
        <w:t>d</w:t>
      </w:r>
      <w:r w:rsidR="00B276E3" w:rsidRPr="00EA7669">
        <w:rPr>
          <w:rFonts w:ascii="Arial Narrow" w:hAnsi="Arial Narrow"/>
        </w:rPr>
        <w:t xml:space="preserve">ie </w:t>
      </w:r>
      <w:r w:rsidR="00B276E3">
        <w:rPr>
          <w:rFonts w:ascii="Arial Narrow" w:hAnsi="Arial Narrow"/>
        </w:rPr>
        <w:t>EU-</w:t>
      </w:r>
      <w:r w:rsidR="00B276E3" w:rsidRPr="00EA7669">
        <w:rPr>
          <w:rFonts w:ascii="Arial Narrow" w:hAnsi="Arial Narrow"/>
        </w:rPr>
        <w:t>HTA (Health Technology Assessment)</w:t>
      </w:r>
      <w:r w:rsidR="00E05F83">
        <w:rPr>
          <w:rFonts w:ascii="Arial Narrow" w:hAnsi="Arial Narrow"/>
        </w:rPr>
        <w:t xml:space="preserve"> </w:t>
      </w:r>
      <w:r w:rsidR="00B276E3">
        <w:rPr>
          <w:rFonts w:ascii="Arial Narrow" w:hAnsi="Arial Narrow"/>
        </w:rPr>
        <w:t>-</w:t>
      </w:r>
      <w:r w:rsidR="00B276E3" w:rsidRPr="00EA7669">
        <w:rPr>
          <w:rFonts w:ascii="Arial Narrow" w:hAnsi="Arial Narrow"/>
        </w:rPr>
        <w:t xml:space="preserve">Verordnung vom Europäischen Parlament sowie dem Europäischen Rat beschlossen und am darauffolgenden Tag veröffentlicht. Zwanzig Tage nach Veröffentlichung - also am 12.01.2022 - </w:t>
      </w:r>
      <w:r w:rsidR="00B276E3">
        <w:rPr>
          <w:rFonts w:ascii="Arial Narrow" w:hAnsi="Arial Narrow"/>
        </w:rPr>
        <w:t>beginnt</w:t>
      </w:r>
      <w:r w:rsidR="00B276E3" w:rsidRPr="00EA7669">
        <w:rPr>
          <w:rFonts w:ascii="Arial Narrow" w:hAnsi="Arial Narrow"/>
        </w:rPr>
        <w:t xml:space="preserve"> die Umsetzung in den einzelnen </w:t>
      </w:r>
      <w:r w:rsidR="00B276E3" w:rsidRPr="00F8509E">
        <w:rPr>
          <w:rFonts w:ascii="Arial Narrow" w:hAnsi="Arial Narrow"/>
        </w:rPr>
        <w:t>Mitgliedsstaaten</w:t>
      </w:r>
      <w:r w:rsidR="00B276E3" w:rsidRPr="00EA7669">
        <w:rPr>
          <w:rFonts w:ascii="Arial Narrow" w:hAnsi="Arial Narrow"/>
        </w:rPr>
        <w:t>. Ziel ist die komplette Anwendung</w:t>
      </w:r>
      <w:r w:rsidR="00B276E3">
        <w:rPr>
          <w:rFonts w:ascii="Arial Narrow" w:hAnsi="Arial Narrow"/>
        </w:rPr>
        <w:t xml:space="preserve"> der Rechtsverordnung</w:t>
      </w:r>
      <w:r w:rsidR="00B276E3" w:rsidRPr="00EA7669">
        <w:rPr>
          <w:rFonts w:ascii="Arial Narrow" w:hAnsi="Arial Narrow"/>
        </w:rPr>
        <w:t xml:space="preserve"> in de</w:t>
      </w:r>
      <w:r w:rsidR="00B276E3">
        <w:rPr>
          <w:rFonts w:ascii="Arial Narrow" w:hAnsi="Arial Narrow"/>
        </w:rPr>
        <w:t>n</w:t>
      </w:r>
      <w:r w:rsidR="00B276E3" w:rsidRPr="00EA7669">
        <w:rPr>
          <w:rFonts w:ascii="Arial Narrow" w:hAnsi="Arial Narrow"/>
        </w:rPr>
        <w:t xml:space="preserve"> </w:t>
      </w:r>
      <w:r w:rsidR="00B276E3">
        <w:rPr>
          <w:rFonts w:ascii="Arial Narrow" w:hAnsi="Arial Narrow"/>
        </w:rPr>
        <w:t xml:space="preserve">Mitgliedsstaaten </w:t>
      </w:r>
      <w:r w:rsidR="00B276E3" w:rsidRPr="00EA7669">
        <w:rPr>
          <w:rFonts w:ascii="Arial Narrow" w:hAnsi="Arial Narrow"/>
        </w:rPr>
        <w:t xml:space="preserve">ab dem 12.01.2025. </w:t>
      </w:r>
      <w:r w:rsidR="00B276E3">
        <w:rPr>
          <w:rFonts w:ascii="Arial Narrow" w:hAnsi="Arial Narrow"/>
        </w:rPr>
        <w:t>Für (bestimmte) Medizinprodukte wird es aber erst ab 2029 ernst.</w:t>
      </w:r>
      <w:r w:rsidR="00ED543C">
        <w:rPr>
          <w:rFonts w:ascii="Arial Narrow" w:hAnsi="Arial Narrow"/>
        </w:rPr>
        <w:t xml:space="preserve"> Das bedeutet im Umkehrschluss, dass sich die Hersteller von Medizinprodukten vorerst weiter auf die Implementierung der MDR konzentrieren können und sich bezüglich der EU-HTA-Verordnung noch keine größeren Gedanken machen müssen.</w:t>
      </w:r>
    </w:p>
    <w:p w14:paraId="27DDD5CD" w14:textId="18596052" w:rsidR="00B276E3" w:rsidRDefault="00B276E3" w:rsidP="00B276E3">
      <w:pPr>
        <w:rPr>
          <w:rFonts w:ascii="Arial Narrow" w:hAnsi="Arial Narrow"/>
        </w:rPr>
      </w:pPr>
      <w:r>
        <w:rPr>
          <w:rFonts w:ascii="Arial Narrow" w:hAnsi="Arial Narrow"/>
        </w:rPr>
        <w:t xml:space="preserve">Im Folgenden haben wir für Sie </w:t>
      </w:r>
      <w:r w:rsidR="00ED543C">
        <w:rPr>
          <w:rFonts w:ascii="Arial Narrow" w:hAnsi="Arial Narrow"/>
        </w:rPr>
        <w:t>als Hersteller von Medizinprodukten und –</w:t>
      </w:r>
      <w:proofErr w:type="spellStart"/>
      <w:r w:rsidR="00ED543C">
        <w:rPr>
          <w:rFonts w:ascii="Arial Narrow" w:hAnsi="Arial Narrow"/>
        </w:rPr>
        <w:t>technik</w:t>
      </w:r>
      <w:proofErr w:type="spellEnd"/>
      <w:r w:rsidR="00ED543C">
        <w:rPr>
          <w:rFonts w:ascii="Arial Narrow" w:hAnsi="Arial Narrow"/>
        </w:rPr>
        <w:t xml:space="preserve"> </w:t>
      </w:r>
      <w:r>
        <w:rPr>
          <w:rFonts w:ascii="Arial Narrow" w:hAnsi="Arial Narrow"/>
        </w:rPr>
        <w:t>die wichtigsten Fragen und Antworten im Zusammenhang mit der EU-HTA-Verordnung zusammengestellt:</w:t>
      </w:r>
    </w:p>
    <w:p w14:paraId="6ADC8F25" w14:textId="77777777" w:rsidR="00A222DC" w:rsidRDefault="00A222DC">
      <w:pPr>
        <w:rPr>
          <w:rFonts w:ascii="Arial Narrow" w:hAnsi="Arial Narrow"/>
        </w:rPr>
      </w:pPr>
    </w:p>
    <w:p w14:paraId="37D0DB8B" w14:textId="6876A055" w:rsidR="00ED543C" w:rsidRDefault="00ED543C">
      <w:pPr>
        <w:rPr>
          <w:rFonts w:ascii="Arial Narrow" w:hAnsi="Arial Narrow"/>
          <w:b/>
        </w:rPr>
      </w:pPr>
      <w:r>
        <w:rPr>
          <w:rFonts w:ascii="Arial Narrow" w:hAnsi="Arial Narrow"/>
          <w:b/>
        </w:rPr>
        <w:t>Was ist eine HTA?</w:t>
      </w:r>
    </w:p>
    <w:p w14:paraId="29C1E9DC" w14:textId="7B5431B3" w:rsidR="00A222DC" w:rsidRDefault="00A222DC">
      <w:pPr>
        <w:rPr>
          <w:rFonts w:ascii="Arial Narrow" w:hAnsi="Arial Narrow"/>
        </w:rPr>
      </w:pPr>
      <w:r w:rsidRPr="00E05F83">
        <w:rPr>
          <w:rFonts w:ascii="Arial Narrow" w:hAnsi="Arial Narrow"/>
        </w:rPr>
        <w:t>HTA ist die Abkürzung für Health Technology Assessment</w:t>
      </w:r>
      <w:r>
        <w:rPr>
          <w:rFonts w:ascii="Arial Narrow" w:hAnsi="Arial Narrow"/>
        </w:rPr>
        <w:t xml:space="preserve">. Unter </w:t>
      </w:r>
      <w:r w:rsidRPr="00E05F83">
        <w:rPr>
          <w:rFonts w:ascii="Arial Narrow" w:hAnsi="Arial Narrow"/>
        </w:rPr>
        <w:t>HTA wird üblicherweise die systematische, evidenzbasierte Bewertung medizinischer Verfahren und Technologien im Hinblick auf deren Effekte auf die Gesundheitsversorgung verstanden.</w:t>
      </w:r>
      <w:r>
        <w:rPr>
          <w:rFonts w:ascii="Arial Narrow" w:hAnsi="Arial Narrow"/>
        </w:rPr>
        <w:t xml:space="preserve"> </w:t>
      </w:r>
      <w:r w:rsidRPr="00A222DC">
        <w:rPr>
          <w:rFonts w:ascii="Arial Narrow" w:hAnsi="Arial Narrow"/>
        </w:rPr>
        <w:t>In Zeiten von wachsenden Gesundheitskosten und beschränkter Budgets verlangt der rasche Zuwachs an medizinischem Fachwissen, Therapien und Techniken den gewissenhaften Einsatz der zu Verfügung stehenden Ressourcen. Die kritische Beurteilung von medizinischen Prozessen und Verfahren in HTA-Berichten ist neben der Erstellung von Cochrane Reviews, Klinischen Leitlinien, Patienteninformationen etc. ein weiterer Schritt, um den Wissenstransfer des ständig steigenden Bestands an Evidenz in die Praxis zu gewährleisten.</w:t>
      </w:r>
    </w:p>
    <w:p w14:paraId="68038A46" w14:textId="77777777" w:rsidR="00A222DC" w:rsidRPr="00A222DC" w:rsidRDefault="00A222DC">
      <w:pPr>
        <w:rPr>
          <w:rFonts w:ascii="Arial Narrow" w:hAnsi="Arial Narrow"/>
        </w:rPr>
      </w:pPr>
    </w:p>
    <w:p w14:paraId="2A6C77FA" w14:textId="41A9D6F8" w:rsidR="00A222DC" w:rsidRPr="00E05F83" w:rsidRDefault="00A222DC">
      <w:pPr>
        <w:rPr>
          <w:rFonts w:ascii="Arial Narrow" w:hAnsi="Arial Narrow"/>
          <w:b/>
        </w:rPr>
      </w:pPr>
      <w:r w:rsidRPr="00A222DC">
        <w:rPr>
          <w:rFonts w:ascii="Arial Narrow" w:hAnsi="Arial Narrow"/>
          <w:b/>
        </w:rPr>
        <w:t>Welche</w:t>
      </w:r>
      <w:r w:rsidRPr="00E05F83">
        <w:rPr>
          <w:rFonts w:ascii="Arial Narrow" w:hAnsi="Arial Narrow"/>
          <w:b/>
        </w:rPr>
        <w:t>s Ziel verfolgt die EU-HTA-Verordnung?</w:t>
      </w:r>
    </w:p>
    <w:p w14:paraId="2BA8CBD3" w14:textId="106756B5" w:rsidR="00A222DC" w:rsidRDefault="00A222DC">
      <w:pPr>
        <w:rPr>
          <w:rFonts w:ascii="Arial Narrow" w:hAnsi="Arial Narrow"/>
        </w:rPr>
      </w:pPr>
      <w:r w:rsidRPr="00A222DC">
        <w:rPr>
          <w:rFonts w:ascii="Arial Narrow" w:hAnsi="Arial Narrow"/>
        </w:rPr>
        <w:t xml:space="preserve">Mit der neuen EU-HTA-Verordnung </w:t>
      </w:r>
      <w:r w:rsidR="003533CB">
        <w:rPr>
          <w:rFonts w:ascii="Arial Narrow" w:hAnsi="Arial Narrow"/>
        </w:rPr>
        <w:t>soll</w:t>
      </w:r>
      <w:r w:rsidRPr="00A222DC">
        <w:rPr>
          <w:rFonts w:ascii="Arial Narrow" w:hAnsi="Arial Narrow"/>
        </w:rPr>
        <w:t xml:space="preserve"> die Nutzenbewertung von neuen Therapien erstmals auf europäischer Ebene geregelt</w:t>
      </w:r>
      <w:r w:rsidR="003533CB">
        <w:rPr>
          <w:rFonts w:ascii="Arial Narrow" w:hAnsi="Arial Narrow"/>
        </w:rPr>
        <w:t xml:space="preserve"> werden</w:t>
      </w:r>
      <w:r w:rsidRPr="00A222DC">
        <w:rPr>
          <w:rFonts w:ascii="Arial Narrow" w:hAnsi="Arial Narrow"/>
        </w:rPr>
        <w:t>. Diese wird parallel zur europäischen Zulassung durchgeführt. Ziele sind der schnellere Zugang zu neuen Therapien, die Verringerung von Doppelarbeit und die Harmonisierung der klinischen Bewertung.</w:t>
      </w:r>
    </w:p>
    <w:p w14:paraId="2B8973CE" w14:textId="67761BDE" w:rsidR="00A32F7B" w:rsidRDefault="00BA13A9">
      <w:pPr>
        <w:rPr>
          <w:rFonts w:ascii="Arial Narrow" w:hAnsi="Arial Narrow"/>
        </w:rPr>
      </w:pPr>
      <w:r>
        <w:rPr>
          <w:rFonts w:ascii="Arial Narrow" w:hAnsi="Arial Narrow"/>
        </w:rPr>
        <w:t>Die</w:t>
      </w:r>
      <w:r w:rsidR="008D107A" w:rsidRPr="005B5230">
        <w:rPr>
          <w:rFonts w:ascii="Arial Narrow" w:hAnsi="Arial Narrow"/>
        </w:rPr>
        <w:t xml:space="preserve"> EU-Verordnung zum Health Technology Assessment (HTA) </w:t>
      </w:r>
      <w:r w:rsidR="00A32F7B">
        <w:rPr>
          <w:rFonts w:ascii="Arial Narrow" w:hAnsi="Arial Narrow"/>
        </w:rPr>
        <w:t xml:space="preserve">hat </w:t>
      </w:r>
      <w:r w:rsidR="003533CB">
        <w:rPr>
          <w:rFonts w:ascii="Arial Narrow" w:hAnsi="Arial Narrow"/>
        </w:rPr>
        <w:t xml:space="preserve">also </w:t>
      </w:r>
      <w:r w:rsidR="00A32F7B">
        <w:rPr>
          <w:rFonts w:ascii="Arial Narrow" w:hAnsi="Arial Narrow"/>
        </w:rPr>
        <w:t>zum Ziel,</w:t>
      </w:r>
      <w:r w:rsidR="008D107A" w:rsidRPr="005B5230">
        <w:rPr>
          <w:rFonts w:ascii="Arial Narrow" w:hAnsi="Arial Narrow"/>
        </w:rPr>
        <w:t xml:space="preserve"> den medizinischen Nutzen eines Produktes mit anderen Produkten oder Behandlungsmöglichkeiten zu vergleichen. </w:t>
      </w:r>
    </w:p>
    <w:p w14:paraId="53A5BC50" w14:textId="799FE59F" w:rsidR="00EE1ADF" w:rsidRDefault="008D107A">
      <w:pPr>
        <w:rPr>
          <w:rFonts w:ascii="Arial Narrow" w:hAnsi="Arial Narrow"/>
        </w:rPr>
      </w:pPr>
      <w:r w:rsidRPr="005B5230">
        <w:rPr>
          <w:rFonts w:ascii="Arial Narrow" w:hAnsi="Arial Narrow"/>
        </w:rPr>
        <w:t xml:space="preserve">Details </w:t>
      </w:r>
      <w:r w:rsidR="00A32F7B">
        <w:rPr>
          <w:rFonts w:ascii="Arial Narrow" w:hAnsi="Arial Narrow"/>
        </w:rPr>
        <w:t xml:space="preserve">zum Verfahrensablauf </w:t>
      </w:r>
      <w:r w:rsidRPr="005B5230">
        <w:rPr>
          <w:rFonts w:ascii="Arial Narrow" w:hAnsi="Arial Narrow"/>
        </w:rPr>
        <w:t xml:space="preserve">werden derzeit auf EU-Ebene erarbeitet, beteiligt </w:t>
      </w:r>
      <w:r w:rsidR="00B276E3">
        <w:rPr>
          <w:rFonts w:ascii="Arial Narrow" w:hAnsi="Arial Narrow"/>
        </w:rPr>
        <w:t xml:space="preserve">auf deutscher Seite </w:t>
      </w:r>
      <w:r w:rsidRPr="005B5230">
        <w:rPr>
          <w:rFonts w:ascii="Arial Narrow" w:hAnsi="Arial Narrow"/>
        </w:rPr>
        <w:t xml:space="preserve">ist </w:t>
      </w:r>
      <w:r w:rsidR="00B276E3">
        <w:rPr>
          <w:rFonts w:ascii="Arial Narrow" w:hAnsi="Arial Narrow"/>
        </w:rPr>
        <w:t xml:space="preserve">sowohl </w:t>
      </w:r>
      <w:r w:rsidRPr="005B5230">
        <w:rPr>
          <w:rFonts w:ascii="Arial Narrow" w:hAnsi="Arial Narrow"/>
        </w:rPr>
        <w:t>das Institut für Qualität un</w:t>
      </w:r>
      <w:r w:rsidR="005B5230" w:rsidRPr="005B5230">
        <w:rPr>
          <w:rFonts w:ascii="Arial Narrow" w:hAnsi="Arial Narrow"/>
        </w:rPr>
        <w:t>d Wirtschaf</w:t>
      </w:r>
      <w:r w:rsidR="005B5230">
        <w:rPr>
          <w:rFonts w:ascii="Arial Narrow" w:hAnsi="Arial Narrow"/>
        </w:rPr>
        <w:t>t</w:t>
      </w:r>
      <w:r w:rsidR="00A32F7B">
        <w:rPr>
          <w:rFonts w:ascii="Arial Narrow" w:hAnsi="Arial Narrow"/>
        </w:rPr>
        <w:t>l</w:t>
      </w:r>
      <w:r w:rsidR="005B5230">
        <w:rPr>
          <w:rFonts w:ascii="Arial Narrow" w:hAnsi="Arial Narrow"/>
        </w:rPr>
        <w:t>ichkeit</w:t>
      </w:r>
      <w:r w:rsidRPr="005B5230">
        <w:rPr>
          <w:rFonts w:ascii="Arial Narrow" w:hAnsi="Arial Narrow"/>
        </w:rPr>
        <w:t xml:space="preserve"> im Gesundheitswesen (IQWiG) als auch der Gemeinsame Bundesausschuss (G-BA).</w:t>
      </w:r>
    </w:p>
    <w:p w14:paraId="0D93ED13" w14:textId="04DC255C" w:rsidR="002B25BA" w:rsidRDefault="00BA13A9">
      <w:pPr>
        <w:rPr>
          <w:rFonts w:ascii="Arial Narrow" w:hAnsi="Arial Narrow"/>
        </w:rPr>
      </w:pPr>
      <w:r>
        <w:rPr>
          <w:rFonts w:ascii="Arial Narrow" w:hAnsi="Arial Narrow"/>
        </w:rPr>
        <w:t xml:space="preserve">Zu Beginn 2024 wird dieser Prozess abgeschlossen sein und die Verordnung tritt </w:t>
      </w:r>
      <w:r w:rsidR="00E3483F">
        <w:rPr>
          <w:rFonts w:ascii="Arial Narrow" w:hAnsi="Arial Narrow"/>
        </w:rPr>
        <w:t>i</w:t>
      </w:r>
      <w:r>
        <w:rPr>
          <w:rFonts w:ascii="Arial Narrow" w:hAnsi="Arial Narrow"/>
        </w:rPr>
        <w:t>n</w:t>
      </w:r>
      <w:r w:rsidR="00E3483F">
        <w:rPr>
          <w:rFonts w:ascii="Arial Narrow" w:hAnsi="Arial Narrow"/>
        </w:rPr>
        <w:t xml:space="preserve"> </w:t>
      </w:r>
      <w:r>
        <w:rPr>
          <w:rFonts w:ascii="Arial Narrow" w:hAnsi="Arial Narrow"/>
        </w:rPr>
        <w:t>Kraft.</w:t>
      </w:r>
      <w:r w:rsidR="00E3483F">
        <w:rPr>
          <w:rFonts w:ascii="Arial Narrow" w:hAnsi="Arial Narrow"/>
        </w:rPr>
        <w:t xml:space="preserve"> </w:t>
      </w:r>
      <w:r w:rsidR="0019429E">
        <w:rPr>
          <w:rFonts w:ascii="Arial Narrow" w:hAnsi="Arial Narrow"/>
        </w:rPr>
        <w:t xml:space="preserve">Laut </w:t>
      </w:r>
      <w:r w:rsidR="00E3483F">
        <w:rPr>
          <w:rFonts w:ascii="Arial Narrow" w:hAnsi="Arial Narrow"/>
        </w:rPr>
        <w:t xml:space="preserve">der Verordnung liegt der Fokus </w:t>
      </w:r>
      <w:r w:rsidR="0019429E">
        <w:rPr>
          <w:rFonts w:ascii="Arial Narrow" w:hAnsi="Arial Narrow"/>
        </w:rPr>
        <w:t>ausdrücklich</w:t>
      </w:r>
      <w:r w:rsidR="00E3483F">
        <w:rPr>
          <w:rFonts w:ascii="Arial Narrow" w:hAnsi="Arial Narrow"/>
        </w:rPr>
        <w:t xml:space="preserve"> auf dem Pharmabereich.</w:t>
      </w:r>
      <w:r w:rsidR="00B276E3">
        <w:rPr>
          <w:rFonts w:ascii="Arial Narrow" w:hAnsi="Arial Narrow"/>
        </w:rPr>
        <w:t xml:space="preserve"> Aber auch ausgewählte Medizinprodukte fallen unter die EU-HTA-Verordnung.</w:t>
      </w:r>
    </w:p>
    <w:p w14:paraId="1AAC5FE2" w14:textId="77777777" w:rsidR="00B276E3" w:rsidRPr="00E05F83" w:rsidRDefault="00B276E3">
      <w:pPr>
        <w:rPr>
          <w:rFonts w:ascii="Arial Narrow" w:hAnsi="Arial Narrow"/>
          <w:b/>
        </w:rPr>
      </w:pPr>
    </w:p>
    <w:p w14:paraId="4B91A435" w14:textId="1C94ADA3" w:rsidR="0005486A" w:rsidRPr="00E05F83" w:rsidRDefault="0005486A">
      <w:pPr>
        <w:rPr>
          <w:rFonts w:ascii="Arial Narrow" w:hAnsi="Arial Narrow"/>
          <w:b/>
        </w:rPr>
      </w:pPr>
      <w:r w:rsidRPr="00E05F83">
        <w:rPr>
          <w:rFonts w:ascii="Arial Narrow" w:hAnsi="Arial Narrow"/>
          <w:b/>
        </w:rPr>
        <w:t>Welche Medizinprodukte sind von der Verordnung erfasst</w:t>
      </w:r>
      <w:r w:rsidR="00B30AF1" w:rsidRPr="00E05F83">
        <w:rPr>
          <w:rFonts w:ascii="Arial Narrow" w:hAnsi="Arial Narrow"/>
          <w:b/>
        </w:rPr>
        <w:t>?</w:t>
      </w:r>
    </w:p>
    <w:p w14:paraId="6FE3D4B4" w14:textId="567B9CDE" w:rsidR="002B25BA" w:rsidRDefault="0005486A">
      <w:pPr>
        <w:rPr>
          <w:rFonts w:ascii="Arial Narrow" w:hAnsi="Arial Narrow"/>
        </w:rPr>
      </w:pPr>
      <w:r w:rsidRPr="0005486A">
        <w:rPr>
          <w:rFonts w:ascii="Arial Narrow" w:hAnsi="Arial Narrow"/>
        </w:rPr>
        <w:t xml:space="preserve">Explizit erwähnt </w:t>
      </w:r>
      <w:r w:rsidR="00B276E3">
        <w:rPr>
          <w:rFonts w:ascii="Arial Narrow" w:hAnsi="Arial Narrow"/>
        </w:rPr>
        <w:t xml:space="preserve">in der Verordnung </w:t>
      </w:r>
      <w:r w:rsidRPr="0005486A">
        <w:rPr>
          <w:rFonts w:ascii="Arial Narrow" w:hAnsi="Arial Narrow"/>
        </w:rPr>
        <w:t xml:space="preserve">sind </w:t>
      </w:r>
      <w:r w:rsidR="00B276E3">
        <w:rPr>
          <w:rFonts w:ascii="Arial Narrow" w:hAnsi="Arial Narrow"/>
        </w:rPr>
        <w:t>Medizinp</w:t>
      </w:r>
      <w:r w:rsidRPr="00B30AF1">
        <w:rPr>
          <w:rFonts w:ascii="Arial Narrow" w:hAnsi="Arial Narrow"/>
        </w:rPr>
        <w:t>rodukte mit hohem Risiko.</w:t>
      </w:r>
      <w:r w:rsidR="00171EB6" w:rsidRPr="00B30AF1">
        <w:rPr>
          <w:rFonts w:ascii="Arial Narrow" w:hAnsi="Arial Narrow"/>
        </w:rPr>
        <w:t xml:space="preserve"> Gemeint sind</w:t>
      </w:r>
      <w:r w:rsidRPr="00B30AF1">
        <w:rPr>
          <w:rFonts w:ascii="Arial Narrow" w:hAnsi="Arial Narrow"/>
        </w:rPr>
        <w:t xml:space="preserve"> implantierbare Produkte der Klasse III und bestimmte aktive Medizinprodukte der Klasse </w:t>
      </w:r>
      <w:proofErr w:type="spellStart"/>
      <w:r w:rsidRPr="00B30AF1">
        <w:rPr>
          <w:rFonts w:ascii="Arial Narrow" w:hAnsi="Arial Narrow"/>
        </w:rPr>
        <w:t>IIb</w:t>
      </w:r>
      <w:proofErr w:type="spellEnd"/>
      <w:r w:rsidRPr="00B30AF1">
        <w:rPr>
          <w:rFonts w:ascii="Arial Narrow" w:hAnsi="Arial Narrow"/>
        </w:rPr>
        <w:t xml:space="preserve">. </w:t>
      </w:r>
      <w:r w:rsidR="001216FF">
        <w:rPr>
          <w:rFonts w:ascii="Arial Narrow" w:hAnsi="Arial Narrow"/>
        </w:rPr>
        <w:t xml:space="preserve">Im Gegensatz zur MDR werden aber auch in diesen höheren Risikoklassen längst nicht alle Medizinprodukte von der Verordnung tangiert. </w:t>
      </w:r>
      <w:r w:rsidRPr="00B30AF1">
        <w:rPr>
          <w:rFonts w:ascii="Arial Narrow" w:hAnsi="Arial Narrow"/>
        </w:rPr>
        <w:t xml:space="preserve">Es geht bei der EU-HTA-Verordnung </w:t>
      </w:r>
      <w:r w:rsidR="001216FF">
        <w:rPr>
          <w:rFonts w:ascii="Arial Narrow" w:hAnsi="Arial Narrow"/>
        </w:rPr>
        <w:t xml:space="preserve">vielmehr </w:t>
      </w:r>
      <w:r w:rsidRPr="00B30AF1">
        <w:rPr>
          <w:rFonts w:ascii="Arial Narrow" w:hAnsi="Arial Narrow"/>
        </w:rPr>
        <w:t>um die gemeinsame Bewertung von wirklich neuen Medizinprodukten, zum Beispiel solchen mit künstlicher Intelligenz</w:t>
      </w:r>
      <w:r w:rsidR="00171EB6" w:rsidRPr="00B30AF1">
        <w:rPr>
          <w:rFonts w:ascii="Arial Narrow" w:hAnsi="Arial Narrow"/>
        </w:rPr>
        <w:t>. Zudem</w:t>
      </w:r>
      <w:r w:rsidRPr="00B30AF1">
        <w:rPr>
          <w:rFonts w:ascii="Arial Narrow" w:hAnsi="Arial Narrow"/>
        </w:rPr>
        <w:t xml:space="preserve"> werden vor allem Produkte bewertet</w:t>
      </w:r>
      <w:r w:rsidRPr="0005486A">
        <w:rPr>
          <w:rFonts w:ascii="Arial Narrow" w:hAnsi="Arial Narrow"/>
        </w:rPr>
        <w:t xml:space="preserve">, die einen </w:t>
      </w:r>
      <w:r w:rsidRPr="00B30AF1">
        <w:rPr>
          <w:rFonts w:ascii="Arial Narrow" w:hAnsi="Arial Narrow"/>
        </w:rPr>
        <w:t>Zusatznutzen gegenüber Standardtherapien oder -produkten versprechen</w:t>
      </w:r>
      <w:r w:rsidR="001216FF">
        <w:rPr>
          <w:rFonts w:ascii="Arial Narrow" w:hAnsi="Arial Narrow"/>
        </w:rPr>
        <w:t xml:space="preserve"> und in mehreren Ländern eingesetzt </w:t>
      </w:r>
      <w:r w:rsidR="001216FF">
        <w:rPr>
          <w:rFonts w:ascii="Arial Narrow" w:hAnsi="Arial Narrow"/>
        </w:rPr>
        <w:lastRenderedPageBreak/>
        <w:t>werden sollen</w:t>
      </w:r>
      <w:r w:rsidRPr="00B30AF1">
        <w:rPr>
          <w:rFonts w:ascii="Arial Narrow" w:hAnsi="Arial Narrow"/>
        </w:rPr>
        <w:t>.</w:t>
      </w:r>
      <w:r w:rsidR="003533CB">
        <w:rPr>
          <w:rFonts w:ascii="Arial Narrow" w:hAnsi="Arial Narrow"/>
        </w:rPr>
        <w:t xml:space="preserve"> Dass </w:t>
      </w:r>
      <w:r w:rsidR="001216FF">
        <w:rPr>
          <w:rFonts w:ascii="Arial Narrow" w:hAnsi="Arial Narrow"/>
        </w:rPr>
        <w:t xml:space="preserve">– später – </w:t>
      </w:r>
      <w:r w:rsidR="003533CB">
        <w:rPr>
          <w:rFonts w:ascii="Arial Narrow" w:hAnsi="Arial Narrow"/>
        </w:rPr>
        <w:t xml:space="preserve">eine solch aufwändige Bewertung auch für Medizinprodukte der unteren Risikoklassen angefordert und eingeführt wird, ist </w:t>
      </w:r>
      <w:r w:rsidR="001216FF">
        <w:rPr>
          <w:rFonts w:ascii="Arial Narrow" w:hAnsi="Arial Narrow"/>
        </w:rPr>
        <w:t xml:space="preserve">dagegen </w:t>
      </w:r>
      <w:r w:rsidR="003533CB">
        <w:rPr>
          <w:rFonts w:ascii="Arial Narrow" w:hAnsi="Arial Narrow"/>
        </w:rPr>
        <w:t>eher unwahrscheinlich.</w:t>
      </w:r>
    </w:p>
    <w:p w14:paraId="18A627B8" w14:textId="77777777" w:rsidR="00FF6FD9" w:rsidRDefault="00FF6FD9">
      <w:pPr>
        <w:rPr>
          <w:rFonts w:ascii="Arial Narrow" w:hAnsi="Arial Narrow"/>
        </w:rPr>
      </w:pPr>
    </w:p>
    <w:p w14:paraId="763F08DD" w14:textId="571237B8" w:rsidR="007522FA" w:rsidRPr="00213E55" w:rsidRDefault="007522FA">
      <w:pPr>
        <w:rPr>
          <w:rFonts w:ascii="Arial Narrow" w:hAnsi="Arial Narrow"/>
          <w:b/>
        </w:rPr>
      </w:pPr>
      <w:r w:rsidRPr="00213E55">
        <w:rPr>
          <w:rFonts w:ascii="Arial Narrow" w:hAnsi="Arial Narrow"/>
          <w:b/>
        </w:rPr>
        <w:t xml:space="preserve">Wer hat die Entscheidungshoheit </w:t>
      </w:r>
      <w:r w:rsidR="006A4AAC" w:rsidRPr="00213E55">
        <w:rPr>
          <w:rFonts w:ascii="Arial Narrow" w:hAnsi="Arial Narrow"/>
          <w:b/>
        </w:rPr>
        <w:t>über die</w:t>
      </w:r>
      <w:r w:rsidRPr="00213E55">
        <w:rPr>
          <w:rFonts w:ascii="Arial Narrow" w:hAnsi="Arial Narrow"/>
          <w:b/>
        </w:rPr>
        <w:t xml:space="preserve"> Auswahl der Medizinprodukte?</w:t>
      </w:r>
    </w:p>
    <w:p w14:paraId="4D7C0977" w14:textId="748801D9" w:rsidR="009B0B90" w:rsidRDefault="006A4AAC">
      <w:pPr>
        <w:rPr>
          <w:rFonts w:ascii="Arial Narrow" w:hAnsi="Arial Narrow"/>
        </w:rPr>
      </w:pPr>
      <w:r w:rsidRPr="006A4AAC">
        <w:rPr>
          <w:rFonts w:ascii="Arial Narrow" w:hAnsi="Arial Narrow"/>
        </w:rPr>
        <w:t xml:space="preserve">Die HTA-Organisationen der EU-Mitgliedsstaaten gründen derzeit eine </w:t>
      </w:r>
      <w:r w:rsidRPr="00F53F7D">
        <w:rPr>
          <w:rFonts w:ascii="Arial Narrow" w:hAnsi="Arial Narrow"/>
        </w:rPr>
        <w:t>Koordinierungsgruppe</w:t>
      </w:r>
      <w:r w:rsidRPr="006A4AAC">
        <w:rPr>
          <w:rFonts w:ascii="Arial Narrow" w:hAnsi="Arial Narrow"/>
          <w:b/>
          <w:bCs/>
        </w:rPr>
        <w:t xml:space="preserve">. </w:t>
      </w:r>
      <w:r w:rsidR="001216FF" w:rsidRPr="00213E55">
        <w:rPr>
          <w:rFonts w:ascii="Arial Narrow" w:hAnsi="Arial Narrow"/>
          <w:bCs/>
        </w:rPr>
        <w:t>Diese</w:t>
      </w:r>
      <w:r w:rsidRPr="006A4AAC">
        <w:rPr>
          <w:rFonts w:ascii="Arial Narrow" w:hAnsi="Arial Narrow"/>
        </w:rPr>
        <w:t xml:space="preserve"> hat</w:t>
      </w:r>
      <w:r w:rsidRPr="006A4AAC">
        <w:rPr>
          <w:rFonts w:ascii="Arial Narrow" w:hAnsi="Arial Narrow"/>
          <w:b/>
          <w:bCs/>
        </w:rPr>
        <w:t xml:space="preserve"> </w:t>
      </w:r>
      <w:r w:rsidRPr="006A4AAC">
        <w:rPr>
          <w:rFonts w:ascii="Arial Narrow" w:hAnsi="Arial Narrow"/>
        </w:rPr>
        <w:t xml:space="preserve">die Aufgabe, mindestens alle zwei Jahre Medizinprodukte auszuwählen, die bewertet werden sollen, und dazu das erforderliche Informationsmaterial anzufordern. Ausdrücklich erwähnt sind </w:t>
      </w:r>
      <w:r w:rsidR="001216FF">
        <w:rPr>
          <w:rFonts w:ascii="Arial Narrow" w:hAnsi="Arial Narrow"/>
        </w:rPr>
        <w:t xml:space="preserve">auch hier </w:t>
      </w:r>
      <w:r w:rsidRPr="006A4AAC">
        <w:rPr>
          <w:rFonts w:ascii="Arial Narrow" w:hAnsi="Arial Narrow"/>
        </w:rPr>
        <w:t xml:space="preserve">Produkte aus den höheren Risikoklassen. Für andere Produkte </w:t>
      </w:r>
      <w:r w:rsidR="00B276E3">
        <w:rPr>
          <w:rFonts w:ascii="Arial Narrow" w:hAnsi="Arial Narrow"/>
        </w:rPr>
        <w:t xml:space="preserve">ist – wie auch schon heute – </w:t>
      </w:r>
      <w:r w:rsidRPr="006A4AAC">
        <w:rPr>
          <w:rFonts w:ascii="Arial Narrow" w:hAnsi="Arial Narrow"/>
        </w:rPr>
        <w:t xml:space="preserve">ein HTA-Prozess </w:t>
      </w:r>
      <w:r w:rsidR="001216FF">
        <w:rPr>
          <w:rFonts w:ascii="Arial Narrow" w:hAnsi="Arial Narrow"/>
        </w:rPr>
        <w:t xml:space="preserve">allerdings </w:t>
      </w:r>
      <w:r w:rsidRPr="006A4AAC">
        <w:rPr>
          <w:rFonts w:ascii="Arial Narrow" w:hAnsi="Arial Narrow"/>
        </w:rPr>
        <w:t>freiwillig möglich.</w:t>
      </w:r>
    </w:p>
    <w:p w14:paraId="12A2F9DA" w14:textId="77777777" w:rsidR="00FF6FD9" w:rsidRDefault="00FF6FD9">
      <w:pPr>
        <w:rPr>
          <w:rFonts w:ascii="Arial Narrow" w:hAnsi="Arial Narrow"/>
        </w:rPr>
      </w:pPr>
    </w:p>
    <w:p w14:paraId="229B2559" w14:textId="2A840036" w:rsidR="009B0B90" w:rsidRPr="00213E55" w:rsidRDefault="009B0B90">
      <w:pPr>
        <w:rPr>
          <w:rFonts w:ascii="Arial Narrow" w:hAnsi="Arial Narrow"/>
          <w:b/>
        </w:rPr>
      </w:pPr>
      <w:r w:rsidRPr="00213E55">
        <w:rPr>
          <w:rFonts w:ascii="Arial Narrow" w:hAnsi="Arial Narrow"/>
          <w:b/>
        </w:rPr>
        <w:t>Entstehen Pflichten für die Hersteller, deren Medizinprodukt bewertet werden soll?</w:t>
      </w:r>
    </w:p>
    <w:p w14:paraId="7E4C1BC5" w14:textId="4BEDB8CA" w:rsidR="00F53F7D" w:rsidRDefault="001216FF">
      <w:pPr>
        <w:rPr>
          <w:rFonts w:ascii="Arial Narrow" w:hAnsi="Arial Narrow"/>
        </w:rPr>
      </w:pPr>
      <w:r>
        <w:rPr>
          <w:rFonts w:ascii="Arial Narrow" w:hAnsi="Arial Narrow"/>
        </w:rPr>
        <w:t>Wird von der Koordinierungsgruppe ein bestimmtes Medizinprodukt ausgewählt, wird d</w:t>
      </w:r>
      <w:r w:rsidR="009B0B90">
        <w:rPr>
          <w:rFonts w:ascii="Arial Narrow" w:hAnsi="Arial Narrow"/>
        </w:rPr>
        <w:t>er</w:t>
      </w:r>
      <w:r w:rsidR="009B0B90" w:rsidRPr="009B0B90">
        <w:rPr>
          <w:rFonts w:ascii="Arial Narrow" w:hAnsi="Arial Narrow"/>
        </w:rPr>
        <w:t xml:space="preserve"> </w:t>
      </w:r>
      <w:r w:rsidR="009B0B90" w:rsidRPr="00F53F7D">
        <w:rPr>
          <w:rFonts w:ascii="Arial Narrow" w:hAnsi="Arial Narrow"/>
        </w:rPr>
        <w:t>Hersteller</w:t>
      </w:r>
      <w:r>
        <w:rPr>
          <w:rFonts w:ascii="Arial Narrow" w:hAnsi="Arial Narrow"/>
        </w:rPr>
        <w:t xml:space="preserve"> dieses Produktes</w:t>
      </w:r>
      <w:r w:rsidR="009B0B90" w:rsidRPr="009B0B90">
        <w:rPr>
          <w:rFonts w:ascii="Arial Narrow" w:hAnsi="Arial Narrow"/>
        </w:rPr>
        <w:t xml:space="preserve"> aufgefordert, Unterlagen einzureichen, so genannte </w:t>
      </w:r>
      <w:r w:rsidR="009B0B90" w:rsidRPr="00F53F7D">
        <w:rPr>
          <w:rFonts w:ascii="Arial Narrow" w:hAnsi="Arial Narrow"/>
        </w:rPr>
        <w:t>Submission Dossiers</w:t>
      </w:r>
      <w:r w:rsidR="009B0B90" w:rsidRPr="009B0B90">
        <w:rPr>
          <w:rFonts w:ascii="Arial Narrow" w:hAnsi="Arial Narrow"/>
        </w:rPr>
        <w:t xml:space="preserve">, die den medizinischen Nutzen seines Produktes belegen. </w:t>
      </w:r>
      <w:r w:rsidR="00A03A85">
        <w:rPr>
          <w:rFonts w:ascii="Arial Narrow" w:hAnsi="Arial Narrow"/>
        </w:rPr>
        <w:t xml:space="preserve">Eine große Rolle werden hierbei randomisierte Studien spielen, wenngleich bekannt ist, dass es derartige RCTs für Medizinprodukte deutlich seltener gibt als für Arzneimittel. </w:t>
      </w:r>
      <w:r w:rsidR="009B0B90" w:rsidRPr="009B0B90">
        <w:rPr>
          <w:rFonts w:ascii="Arial Narrow" w:hAnsi="Arial Narrow"/>
        </w:rPr>
        <w:t>Welche Unterlagen im Einzelnen gefordert sein werden, ist noch nicht festgelegt. Klar ist allerdings schon, dass, wenn auf EU-Ebene Unterlagen einmal für ein Joint Assessment angefordert worden sind, diese nicht erneut für die nationale Bewertung verlangt werden dürfen. Ein Hersteller muss also national maximal ergänzende Belege beibringen.</w:t>
      </w:r>
    </w:p>
    <w:p w14:paraId="7082E91D" w14:textId="77777777" w:rsidR="00FF6FD9" w:rsidRDefault="00FF6FD9">
      <w:pPr>
        <w:rPr>
          <w:rFonts w:ascii="Arial Narrow" w:hAnsi="Arial Narrow"/>
        </w:rPr>
      </w:pPr>
    </w:p>
    <w:p w14:paraId="486F76DD" w14:textId="24833D69" w:rsidR="00F53F7D" w:rsidRPr="00213E55" w:rsidRDefault="00F53F7D">
      <w:pPr>
        <w:rPr>
          <w:rFonts w:ascii="Arial Narrow" w:hAnsi="Arial Narrow"/>
          <w:b/>
        </w:rPr>
      </w:pPr>
      <w:r w:rsidRPr="00213E55">
        <w:rPr>
          <w:rFonts w:ascii="Arial Narrow" w:hAnsi="Arial Narrow"/>
          <w:b/>
        </w:rPr>
        <w:t>Woran werden die Medizinprodukte gemessen und von wem?</w:t>
      </w:r>
    </w:p>
    <w:p w14:paraId="641AB973" w14:textId="77777777" w:rsidR="00FD75AB" w:rsidRDefault="00FD75AB" w:rsidP="00FD75AB">
      <w:pPr>
        <w:rPr>
          <w:rFonts w:ascii="Arial Narrow" w:hAnsi="Arial Narrow"/>
        </w:rPr>
      </w:pPr>
      <w:r w:rsidRPr="00FD75AB">
        <w:rPr>
          <w:rFonts w:ascii="Arial Narrow" w:hAnsi="Arial Narrow"/>
        </w:rPr>
        <w:t xml:space="preserve">Es geht bei der EU-HTA-Verordnung um eine unabhängige Evidenzanalyse. </w:t>
      </w:r>
      <w:r>
        <w:rPr>
          <w:rFonts w:ascii="Arial Narrow" w:hAnsi="Arial Narrow"/>
        </w:rPr>
        <w:t>Es soll</w:t>
      </w:r>
      <w:r w:rsidRPr="00FD75AB">
        <w:rPr>
          <w:rFonts w:ascii="Arial Narrow" w:hAnsi="Arial Narrow"/>
        </w:rPr>
        <w:t xml:space="preserve"> </w:t>
      </w:r>
      <w:r>
        <w:rPr>
          <w:rFonts w:ascii="Arial Narrow" w:hAnsi="Arial Narrow"/>
        </w:rPr>
        <w:t>gezeigt werden</w:t>
      </w:r>
      <w:r w:rsidRPr="00FD75AB">
        <w:rPr>
          <w:rFonts w:ascii="Arial Narrow" w:hAnsi="Arial Narrow"/>
        </w:rPr>
        <w:t xml:space="preserve">, dass eine neue Behandlungsmöglichkeit einer bekannten tatsächlich überlegen ist und Vorteile bringt. </w:t>
      </w:r>
    </w:p>
    <w:p w14:paraId="78BD1316" w14:textId="6103546D" w:rsidR="00FD75AB" w:rsidRDefault="00FD75AB" w:rsidP="00FD75AB">
      <w:pPr>
        <w:rPr>
          <w:rFonts w:ascii="Arial Narrow" w:hAnsi="Arial Narrow"/>
        </w:rPr>
      </w:pPr>
      <w:r w:rsidRPr="00FD75AB">
        <w:rPr>
          <w:rFonts w:ascii="Arial Narrow" w:hAnsi="Arial Narrow"/>
        </w:rPr>
        <w:t>Die Details sind aber noch zu definieren. Die grundlegenden Überlegungen, wie die Bewertung ablaufen soll, gibt es zwar schon. Aber das Projekt, das Prozesse und Methoden genauer definieren wird, ist mit Partnern aus vielen EU-Ländern gerade erst angelaufen. Die Koordinierungsgruppe wird schlussendlich die finalen Prozesse und Anforderungen festlegen</w:t>
      </w:r>
      <w:r>
        <w:rPr>
          <w:rFonts w:ascii="Arial Narrow" w:hAnsi="Arial Narrow"/>
        </w:rPr>
        <w:t>.</w:t>
      </w:r>
    </w:p>
    <w:p w14:paraId="3E46426D" w14:textId="2D5AFB69" w:rsidR="00ED543C" w:rsidRDefault="00ED543C" w:rsidP="00FD75AB">
      <w:pPr>
        <w:rPr>
          <w:rFonts w:ascii="Arial Narrow" w:hAnsi="Arial Narrow"/>
        </w:rPr>
      </w:pPr>
      <w:r w:rsidRPr="00213E55">
        <w:rPr>
          <w:rFonts w:ascii="Arial Narrow" w:hAnsi="Arial Narrow"/>
        </w:rPr>
        <w:t>Allerdings wird es keine Institutionen geben, die eine Rolle spielen, die mit der der Benannten Stellen bei der MDR-Umsetzung vergleichbar ist.</w:t>
      </w:r>
    </w:p>
    <w:p w14:paraId="1677FD70" w14:textId="77777777" w:rsidR="00B276E3" w:rsidRDefault="00B276E3" w:rsidP="00FD75AB">
      <w:pPr>
        <w:rPr>
          <w:rFonts w:ascii="Arial Narrow" w:hAnsi="Arial Narrow"/>
        </w:rPr>
      </w:pPr>
    </w:p>
    <w:p w14:paraId="2BB98425" w14:textId="04AF43AA" w:rsidR="00A05BA4" w:rsidRPr="004E53A5" w:rsidRDefault="00A05BA4" w:rsidP="00FD75AB">
      <w:pPr>
        <w:rPr>
          <w:rFonts w:ascii="Arial Narrow" w:hAnsi="Arial Narrow"/>
          <w:b/>
        </w:rPr>
      </w:pPr>
      <w:r w:rsidRPr="004E53A5">
        <w:rPr>
          <w:rFonts w:ascii="Arial Narrow" w:hAnsi="Arial Narrow"/>
          <w:b/>
        </w:rPr>
        <w:t>Wird die EU-HTA Folgen für den Hersteller oder das Produkt haben?</w:t>
      </w:r>
    </w:p>
    <w:p w14:paraId="59D79B3E" w14:textId="5FE56FA3" w:rsidR="00F53F7D" w:rsidRDefault="00A05BA4">
      <w:pPr>
        <w:rPr>
          <w:rFonts w:ascii="Arial Narrow" w:hAnsi="Arial Narrow"/>
        </w:rPr>
      </w:pPr>
      <w:r w:rsidRPr="00A05BA4">
        <w:rPr>
          <w:rFonts w:ascii="Arial Narrow" w:hAnsi="Arial Narrow"/>
        </w:rPr>
        <w:t>Die Bewertung ist ausschließlich eine neutrale Einschätzung der Sachlage und hat keine EU-weit einheitlichen Konsequenzen. Die Bewertung als solche liegt dann jedem Land vor. Und in jedem einzelnen Land wird entschieden, welche Schlüsse man daraus z</w:t>
      </w:r>
      <w:r>
        <w:rPr>
          <w:rFonts w:ascii="Arial Narrow" w:hAnsi="Arial Narrow"/>
        </w:rPr>
        <w:t>.B.</w:t>
      </w:r>
      <w:r w:rsidRPr="00A05BA4">
        <w:rPr>
          <w:rFonts w:ascii="Arial Narrow" w:hAnsi="Arial Narrow"/>
        </w:rPr>
        <w:t xml:space="preserve"> für die Erstattung der bewerteten Behandlung zieht</w:t>
      </w:r>
      <w:r w:rsidR="00EB1591">
        <w:rPr>
          <w:rFonts w:ascii="Arial Narrow" w:hAnsi="Arial Narrow"/>
        </w:rPr>
        <w:t xml:space="preserve">, m. a. W. Die Verordnung hat </w:t>
      </w:r>
      <w:r w:rsidR="00EB1591" w:rsidRPr="00EB1591">
        <w:rPr>
          <w:rFonts w:ascii="Arial Narrow" w:hAnsi="Arial Narrow"/>
        </w:rPr>
        <w:t>keine Auswirkungen auf die nationalen Erstattungsbeträge.</w:t>
      </w:r>
    </w:p>
    <w:p w14:paraId="5A2AC0CA" w14:textId="77777777" w:rsidR="00C0799E" w:rsidRDefault="00C0799E">
      <w:pPr>
        <w:rPr>
          <w:rFonts w:ascii="Arial Narrow" w:hAnsi="Arial Narrow"/>
        </w:rPr>
      </w:pPr>
    </w:p>
    <w:p w14:paraId="504837A1" w14:textId="1DAC9F4D" w:rsidR="00EB1591" w:rsidRDefault="00EB1591">
      <w:pPr>
        <w:rPr>
          <w:rFonts w:ascii="Arial Narrow" w:hAnsi="Arial Narrow"/>
          <w:b/>
        </w:rPr>
      </w:pPr>
      <w:r w:rsidRPr="004E53A5">
        <w:rPr>
          <w:rFonts w:ascii="Arial Narrow" w:hAnsi="Arial Narrow"/>
          <w:b/>
        </w:rPr>
        <w:t xml:space="preserve">Gibt es Überschneidungen </w:t>
      </w:r>
      <w:r w:rsidRPr="00EB1591">
        <w:rPr>
          <w:rFonts w:ascii="Arial Narrow" w:hAnsi="Arial Narrow"/>
          <w:b/>
        </w:rPr>
        <w:t>zwischen HTA-Verordnun</w:t>
      </w:r>
      <w:r w:rsidRPr="004E53A5">
        <w:rPr>
          <w:rFonts w:ascii="Arial Narrow" w:hAnsi="Arial Narrow"/>
          <w:b/>
        </w:rPr>
        <w:t>g und MDR?</w:t>
      </w:r>
    </w:p>
    <w:p w14:paraId="02680D0A" w14:textId="1AA8261C" w:rsidR="00EB1591" w:rsidRPr="00EB1591" w:rsidRDefault="00EB1591">
      <w:pPr>
        <w:rPr>
          <w:rFonts w:ascii="Arial Narrow" w:hAnsi="Arial Narrow"/>
        </w:rPr>
      </w:pPr>
      <w:r>
        <w:rPr>
          <w:rFonts w:ascii="Arial Narrow" w:hAnsi="Arial Narrow"/>
        </w:rPr>
        <w:t>Bei der MDR geht es grundsätzlich um die Zulassung und die Sicherheit und Funktionsfähigkeit eines ganz bestimmten Medizinproduktes, während es bei der EU-HTA-Verordnung um den Vergleich von Alternativen hinsichtlich des Nutzens geht. Ein unmittelbarer Zusammenhang besteht demnach eher nicht. Denkbar ist jedoch, dass Daten zur Risiko-Nutzen-Abschätzung, die im Rahmen der MDR-Zertifizierung erbracht werden mussten, auch für den HTA-Prozess nützlich sind und insoweit genutzt werden.</w:t>
      </w:r>
    </w:p>
    <w:p w14:paraId="089012CC" w14:textId="77777777" w:rsidR="00FF6FD9" w:rsidRPr="00B93842" w:rsidRDefault="00C0799E">
      <w:pPr>
        <w:rPr>
          <w:rFonts w:ascii="Arial Narrow" w:hAnsi="Arial Narrow"/>
          <w:b/>
        </w:rPr>
      </w:pPr>
      <w:r w:rsidRPr="00B93842">
        <w:rPr>
          <w:rFonts w:ascii="Arial Narrow" w:hAnsi="Arial Narrow"/>
          <w:b/>
        </w:rPr>
        <w:lastRenderedPageBreak/>
        <w:t>Hat die EU-HTA Einfluss auf die in Deutschland bereits existierende Nutzenbewertung?</w:t>
      </w:r>
    </w:p>
    <w:p w14:paraId="30A142C8" w14:textId="67840DCE" w:rsidR="009B0B90" w:rsidRPr="00B30AF1" w:rsidRDefault="00C0799E">
      <w:pPr>
        <w:rPr>
          <w:rFonts w:ascii="Arial Narrow" w:hAnsi="Arial Narrow"/>
        </w:rPr>
      </w:pPr>
      <w:r>
        <w:rPr>
          <w:rFonts w:ascii="Arial Narrow" w:hAnsi="Arial Narrow"/>
        </w:rPr>
        <w:t xml:space="preserve">Eigentlich nicht. </w:t>
      </w:r>
      <w:r w:rsidRPr="00C0799E">
        <w:rPr>
          <w:rFonts w:ascii="Arial Narrow" w:hAnsi="Arial Narrow"/>
        </w:rPr>
        <w:t>Es kann sein, dass eine Datenanforderung zu einem neuen Medizinprodukt über die EU-HTA etwas früher kommt als man es hier sonst vielleicht erwarte</w:t>
      </w:r>
      <w:r w:rsidR="00B276E3">
        <w:rPr>
          <w:rFonts w:ascii="Arial Narrow" w:hAnsi="Arial Narrow"/>
        </w:rPr>
        <w:t>n</w:t>
      </w:r>
      <w:r w:rsidRPr="00C0799E">
        <w:rPr>
          <w:rFonts w:ascii="Arial Narrow" w:hAnsi="Arial Narrow"/>
        </w:rPr>
        <w:t xml:space="preserve"> </w:t>
      </w:r>
      <w:r>
        <w:rPr>
          <w:rFonts w:ascii="Arial Narrow" w:hAnsi="Arial Narrow"/>
        </w:rPr>
        <w:t>würde</w:t>
      </w:r>
      <w:r w:rsidRPr="00C0799E">
        <w:rPr>
          <w:rFonts w:ascii="Arial Narrow" w:hAnsi="Arial Narrow"/>
        </w:rPr>
        <w:t>.</w:t>
      </w:r>
    </w:p>
    <w:p w14:paraId="1E5CE966" w14:textId="6D72A8CC" w:rsidR="00E3483F" w:rsidRPr="00B30AF1" w:rsidRDefault="00E3483F">
      <w:pPr>
        <w:rPr>
          <w:rFonts w:ascii="Arial Narrow" w:hAnsi="Arial Narrow"/>
        </w:rPr>
      </w:pPr>
    </w:p>
    <w:p w14:paraId="62C28388" w14:textId="506CDD5A" w:rsidR="00E3483F" w:rsidRPr="00B93842" w:rsidRDefault="00E3483F">
      <w:pPr>
        <w:rPr>
          <w:rFonts w:ascii="Arial Narrow" w:hAnsi="Arial Narrow"/>
          <w:b/>
        </w:rPr>
      </w:pPr>
      <w:r w:rsidRPr="00B93842">
        <w:rPr>
          <w:rFonts w:ascii="Arial Narrow" w:hAnsi="Arial Narrow"/>
          <w:b/>
        </w:rPr>
        <w:t>Fazit</w:t>
      </w:r>
    </w:p>
    <w:p w14:paraId="09612AC2" w14:textId="48E92CB0" w:rsidR="001648F4" w:rsidRDefault="00E3483F">
      <w:pPr>
        <w:rPr>
          <w:rFonts w:ascii="Arial Narrow" w:hAnsi="Arial Narrow"/>
        </w:rPr>
      </w:pPr>
      <w:r w:rsidRPr="00E3483F">
        <w:rPr>
          <w:rFonts w:ascii="Arial Narrow" w:hAnsi="Arial Narrow"/>
        </w:rPr>
        <w:t xml:space="preserve">Bis die EU-HTA-Verordnung </w:t>
      </w:r>
      <w:r>
        <w:rPr>
          <w:rFonts w:ascii="Arial Narrow" w:hAnsi="Arial Narrow"/>
        </w:rPr>
        <w:t>für Medizinproduktehersteller</w:t>
      </w:r>
      <w:r w:rsidRPr="00E3483F">
        <w:rPr>
          <w:rFonts w:ascii="Arial Narrow" w:hAnsi="Arial Narrow"/>
        </w:rPr>
        <w:t xml:space="preserve"> </w:t>
      </w:r>
      <w:r w:rsidR="00FC51AB">
        <w:rPr>
          <w:rFonts w:ascii="Arial Narrow" w:hAnsi="Arial Narrow"/>
        </w:rPr>
        <w:t xml:space="preserve">wirksam </w:t>
      </w:r>
      <w:r w:rsidRPr="00E3483F">
        <w:rPr>
          <w:rFonts w:ascii="Arial Narrow" w:hAnsi="Arial Narrow"/>
        </w:rPr>
        <w:t>wird</w:t>
      </w:r>
      <w:r>
        <w:rPr>
          <w:rFonts w:ascii="Arial Narrow" w:hAnsi="Arial Narrow"/>
        </w:rPr>
        <w:t xml:space="preserve">, </w:t>
      </w:r>
      <w:proofErr w:type="gramStart"/>
      <w:r w:rsidR="00B276E3">
        <w:rPr>
          <w:rFonts w:ascii="Arial Narrow" w:hAnsi="Arial Narrow"/>
        </w:rPr>
        <w:t>werden  noch</w:t>
      </w:r>
      <w:proofErr w:type="gramEnd"/>
      <w:r w:rsidR="00B276E3">
        <w:rPr>
          <w:rFonts w:ascii="Arial Narrow" w:hAnsi="Arial Narrow"/>
        </w:rPr>
        <w:t xml:space="preserve"> einige Jahre vergehen. Laut Verordnung dürfte das</w:t>
      </w:r>
      <w:r w:rsidR="00FC51AB">
        <w:rPr>
          <w:rFonts w:ascii="Arial Narrow" w:hAnsi="Arial Narrow"/>
        </w:rPr>
        <w:t xml:space="preserve"> erst 2029 der Fall sein</w:t>
      </w:r>
      <w:r w:rsidR="007832D6">
        <w:rPr>
          <w:rFonts w:ascii="Arial Narrow" w:hAnsi="Arial Narrow"/>
        </w:rPr>
        <w:t>. Bis dahin</w:t>
      </w:r>
      <w:r w:rsidR="00FC51AB">
        <w:rPr>
          <w:rFonts w:ascii="Arial Narrow" w:hAnsi="Arial Narrow"/>
        </w:rPr>
        <w:t xml:space="preserve"> </w:t>
      </w:r>
      <w:r w:rsidRPr="00E3483F">
        <w:rPr>
          <w:rFonts w:ascii="Arial Narrow" w:hAnsi="Arial Narrow"/>
        </w:rPr>
        <w:t>w</w:t>
      </w:r>
      <w:r w:rsidR="00A05BA4">
        <w:rPr>
          <w:rFonts w:ascii="Arial Narrow" w:hAnsi="Arial Narrow"/>
        </w:rPr>
        <w:t>ird man in Deutschland</w:t>
      </w:r>
      <w:r w:rsidRPr="00E3483F">
        <w:rPr>
          <w:rFonts w:ascii="Arial Narrow" w:hAnsi="Arial Narrow"/>
        </w:rPr>
        <w:t xml:space="preserve"> schon routinierter mit einer Vereinheitlichung in Europa umgehen können</w:t>
      </w:r>
      <w:r w:rsidR="004438C4">
        <w:rPr>
          <w:rFonts w:ascii="Arial Narrow" w:hAnsi="Arial Narrow"/>
        </w:rPr>
        <w:t xml:space="preserve"> und weitere Erfahrungen auch aus freiwilligen HTAs gewonnen haben</w:t>
      </w:r>
      <w:r w:rsidRPr="00E3483F">
        <w:rPr>
          <w:rFonts w:ascii="Arial Narrow" w:hAnsi="Arial Narrow"/>
        </w:rPr>
        <w:t>.</w:t>
      </w:r>
      <w:r w:rsidR="001648F4">
        <w:rPr>
          <w:rFonts w:ascii="Arial Narrow" w:hAnsi="Arial Narrow"/>
        </w:rPr>
        <w:t xml:space="preserve"> </w:t>
      </w:r>
    </w:p>
    <w:p w14:paraId="007128D4" w14:textId="6E229850" w:rsidR="00E3483F" w:rsidRPr="001648F4" w:rsidRDefault="00FC51AB">
      <w:pPr>
        <w:rPr>
          <w:rFonts w:ascii="Arial Narrow" w:hAnsi="Arial Narrow"/>
          <w:sz w:val="24"/>
          <w:szCs w:val="24"/>
        </w:rPr>
      </w:pPr>
      <w:r>
        <w:rPr>
          <w:rFonts w:ascii="Arial Narrow" w:hAnsi="Arial Narrow"/>
        </w:rPr>
        <w:t>“</w:t>
      </w:r>
      <w:r w:rsidR="00E3483F" w:rsidRPr="00E3483F">
        <w:rPr>
          <w:rFonts w:ascii="Arial Narrow" w:hAnsi="Arial Narrow"/>
        </w:rPr>
        <w:t>So gesehen ist es vollkommen in Ordnung, sich als Medizinproduktehersteller derzeit auf die MDR zu konzentrieren und die Entwicklungen der EU-HTA dabei nicht ganz aus den Augen zu verlieren.</w:t>
      </w:r>
      <w:r>
        <w:rPr>
          <w:rFonts w:ascii="Arial Narrow" w:hAnsi="Arial Narrow"/>
        </w:rPr>
        <w:t>“ (Dr.</w:t>
      </w:r>
      <w:r w:rsidR="001648F4" w:rsidRPr="001648F4">
        <w:t xml:space="preserve"> </w:t>
      </w:r>
      <w:proofErr w:type="spellStart"/>
      <w:r w:rsidR="001648F4" w:rsidRPr="001648F4">
        <w:rPr>
          <w:rFonts w:ascii="Arial Narrow" w:hAnsi="Arial Narrow"/>
        </w:rPr>
        <w:t>Alric</w:t>
      </w:r>
      <w:proofErr w:type="spellEnd"/>
      <w:r w:rsidR="001648F4" w:rsidRPr="001648F4">
        <w:rPr>
          <w:rFonts w:ascii="Arial Narrow" w:hAnsi="Arial Narrow"/>
        </w:rPr>
        <w:t xml:space="preserve"> Rüther</w:t>
      </w:r>
      <w:r w:rsidR="007832D6">
        <w:rPr>
          <w:rFonts w:ascii="Arial Narrow" w:hAnsi="Arial Narrow"/>
        </w:rPr>
        <w:t>, IQWiG,</w:t>
      </w:r>
      <w:r w:rsidR="001648F4">
        <w:rPr>
          <w:rFonts w:ascii="Arial Narrow" w:hAnsi="Arial Narrow"/>
        </w:rPr>
        <w:t xml:space="preserve"> in </w:t>
      </w:r>
      <w:proofErr w:type="spellStart"/>
      <w:r w:rsidR="007832D6">
        <w:rPr>
          <w:rFonts w:ascii="Arial Narrow" w:hAnsi="Arial Narrow"/>
        </w:rPr>
        <w:t>m</w:t>
      </w:r>
      <w:r w:rsidR="001648F4">
        <w:rPr>
          <w:rFonts w:ascii="Arial Narrow" w:hAnsi="Arial Narrow"/>
        </w:rPr>
        <w:t>edizin</w:t>
      </w:r>
      <w:proofErr w:type="spellEnd"/>
      <w:r w:rsidR="007832D6">
        <w:rPr>
          <w:rFonts w:ascii="Arial Narrow" w:hAnsi="Arial Narrow"/>
        </w:rPr>
        <w:t xml:space="preserve"> &amp; </w:t>
      </w:r>
      <w:proofErr w:type="spellStart"/>
      <w:r w:rsidR="007832D6">
        <w:rPr>
          <w:rFonts w:ascii="Arial Narrow" w:hAnsi="Arial Narrow"/>
        </w:rPr>
        <w:t>technik</w:t>
      </w:r>
      <w:proofErr w:type="spellEnd"/>
      <w:r w:rsidR="001648F4">
        <w:rPr>
          <w:rFonts w:ascii="Arial Narrow" w:hAnsi="Arial Narrow"/>
        </w:rPr>
        <w:t xml:space="preserve"> vom 3. November 2021</w:t>
      </w:r>
      <w:r w:rsidR="004438C4">
        <w:rPr>
          <w:rFonts w:ascii="Arial Narrow" w:hAnsi="Arial Narrow"/>
        </w:rPr>
        <w:t>.</w:t>
      </w:r>
    </w:p>
    <w:sectPr w:rsidR="00E3483F" w:rsidRPr="001648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7A"/>
    <w:rsid w:val="0005486A"/>
    <w:rsid w:val="001216FF"/>
    <w:rsid w:val="001648F4"/>
    <w:rsid w:val="00171EB6"/>
    <w:rsid w:val="0019429E"/>
    <w:rsid w:val="00213E55"/>
    <w:rsid w:val="002B25BA"/>
    <w:rsid w:val="0030489A"/>
    <w:rsid w:val="003533CB"/>
    <w:rsid w:val="003D1923"/>
    <w:rsid w:val="00423C80"/>
    <w:rsid w:val="004438C4"/>
    <w:rsid w:val="004E53A5"/>
    <w:rsid w:val="005B5230"/>
    <w:rsid w:val="006A4AAC"/>
    <w:rsid w:val="007522FA"/>
    <w:rsid w:val="007832D6"/>
    <w:rsid w:val="008D107A"/>
    <w:rsid w:val="009B0B90"/>
    <w:rsid w:val="00A03A85"/>
    <w:rsid w:val="00A05BA4"/>
    <w:rsid w:val="00A222DC"/>
    <w:rsid w:val="00A32F7B"/>
    <w:rsid w:val="00AD11F6"/>
    <w:rsid w:val="00AE075B"/>
    <w:rsid w:val="00B276E3"/>
    <w:rsid w:val="00B30AF1"/>
    <w:rsid w:val="00B55861"/>
    <w:rsid w:val="00B93842"/>
    <w:rsid w:val="00BA13A9"/>
    <w:rsid w:val="00BC6948"/>
    <w:rsid w:val="00C0799E"/>
    <w:rsid w:val="00E05F83"/>
    <w:rsid w:val="00E3483F"/>
    <w:rsid w:val="00EB1591"/>
    <w:rsid w:val="00ED543C"/>
    <w:rsid w:val="00EE1ADF"/>
    <w:rsid w:val="00F53F7D"/>
    <w:rsid w:val="00FC51AB"/>
    <w:rsid w:val="00FD75AB"/>
    <w:rsid w:val="00FF6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EEF2"/>
  <w15:chartTrackingRefBased/>
  <w15:docId w15:val="{81BE7A45-1597-49A6-89E9-B2EF6994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A4AAC"/>
    <w:rPr>
      <w:b/>
      <w:bCs/>
    </w:rPr>
  </w:style>
  <w:style w:type="character" w:styleId="Kommentarzeichen">
    <w:name w:val="annotation reference"/>
    <w:basedOn w:val="Absatz-Standardschriftart"/>
    <w:uiPriority w:val="99"/>
    <w:semiHidden/>
    <w:unhideWhenUsed/>
    <w:rsid w:val="00B276E3"/>
    <w:rPr>
      <w:sz w:val="16"/>
      <w:szCs w:val="16"/>
    </w:rPr>
  </w:style>
  <w:style w:type="paragraph" w:styleId="Kommentartext">
    <w:name w:val="annotation text"/>
    <w:basedOn w:val="Standard"/>
    <w:link w:val="KommentartextZchn"/>
    <w:uiPriority w:val="99"/>
    <w:semiHidden/>
    <w:unhideWhenUsed/>
    <w:rsid w:val="00B276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76E3"/>
    <w:rPr>
      <w:sz w:val="20"/>
      <w:szCs w:val="20"/>
    </w:rPr>
  </w:style>
  <w:style w:type="paragraph" w:styleId="Sprechblasentext">
    <w:name w:val="Balloon Text"/>
    <w:basedOn w:val="Standard"/>
    <w:link w:val="SprechblasentextZchn"/>
    <w:uiPriority w:val="99"/>
    <w:semiHidden/>
    <w:unhideWhenUsed/>
    <w:rsid w:val="00B276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6E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B276E3"/>
    <w:rPr>
      <w:b/>
      <w:bCs/>
    </w:rPr>
  </w:style>
  <w:style w:type="character" w:customStyle="1" w:styleId="KommentarthemaZchn">
    <w:name w:val="Kommentarthema Zchn"/>
    <w:basedOn w:val="KommentartextZchn"/>
    <w:link w:val="Kommentarthema"/>
    <w:uiPriority w:val="99"/>
    <w:semiHidden/>
    <w:rsid w:val="00B276E3"/>
    <w:rPr>
      <w:b/>
      <w:bCs/>
      <w:sz w:val="20"/>
      <w:szCs w:val="20"/>
    </w:rPr>
  </w:style>
  <w:style w:type="character" w:styleId="Hyperlink">
    <w:name w:val="Hyperlink"/>
    <w:basedOn w:val="Absatz-Standardschriftart"/>
    <w:uiPriority w:val="99"/>
    <w:unhideWhenUsed/>
    <w:rsid w:val="007832D6"/>
    <w:rPr>
      <w:color w:val="0563C1" w:themeColor="hyperlink"/>
      <w:u w:val="single"/>
    </w:rPr>
  </w:style>
  <w:style w:type="paragraph" w:styleId="berarbeitung">
    <w:name w:val="Revision"/>
    <w:hidden/>
    <w:uiPriority w:val="99"/>
    <w:semiHidden/>
    <w:rsid w:val="00E05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21693">
      <w:bodyDiv w:val="1"/>
      <w:marLeft w:val="0"/>
      <w:marRight w:val="0"/>
      <w:marTop w:val="0"/>
      <w:marBottom w:val="0"/>
      <w:divBdr>
        <w:top w:val="none" w:sz="0" w:space="0" w:color="auto"/>
        <w:left w:val="none" w:sz="0" w:space="0" w:color="auto"/>
        <w:bottom w:val="none" w:sz="0" w:space="0" w:color="auto"/>
        <w:right w:val="none" w:sz="0" w:space="0" w:color="auto"/>
      </w:divBdr>
    </w:div>
    <w:div w:id="15952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Siebert [SPECTARIS]</dc:creator>
  <cp:keywords/>
  <dc:description/>
  <cp:lastModifiedBy>Jana Mallok [SPECTARIS]</cp:lastModifiedBy>
  <cp:revision>2</cp:revision>
  <dcterms:created xsi:type="dcterms:W3CDTF">2022-01-20T10:31:00Z</dcterms:created>
  <dcterms:modified xsi:type="dcterms:W3CDTF">2022-01-20T10:31:00Z</dcterms:modified>
</cp:coreProperties>
</file>