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4E77F" w14:textId="20221BF3" w:rsidR="0025445F" w:rsidRPr="0025445F" w:rsidRDefault="0055419C" w:rsidP="0025445F">
      <w:pPr>
        <w:rPr>
          <w:rFonts w:ascii="Arial Narrow" w:hAnsi="Arial Narrow"/>
          <w:sz w:val="24"/>
          <w:szCs w:val="24"/>
        </w:rPr>
      </w:pPr>
      <w:r w:rsidRPr="0055419C">
        <w:rPr>
          <w:rFonts w:ascii="Arial Narrow" w:hAnsi="Arial Narrow"/>
          <w:b/>
          <w:sz w:val="40"/>
        </w:rPr>
        <w:t>SPECTARIS-</w:t>
      </w:r>
      <w:r w:rsidR="005449D8">
        <w:rPr>
          <w:rFonts w:ascii="Arial Narrow" w:hAnsi="Arial Narrow"/>
          <w:b/>
          <w:sz w:val="40"/>
        </w:rPr>
        <w:t xml:space="preserve">Positionspapier </w:t>
      </w:r>
      <w:r w:rsidR="0025445F">
        <w:rPr>
          <w:rFonts w:ascii="Arial Narrow" w:hAnsi="Arial Narrow"/>
          <w:b/>
          <w:sz w:val="40"/>
        </w:rPr>
        <w:t xml:space="preserve">zur Nutzung von Gesundheitsdaten zu Forschungszwecken </w:t>
      </w:r>
      <w:r w:rsidR="005449D8">
        <w:rPr>
          <w:rFonts w:ascii="Arial Narrow" w:hAnsi="Arial Narrow"/>
          <w:b/>
          <w:sz w:val="40"/>
        </w:rPr>
        <w:t>durch</w:t>
      </w:r>
      <w:r w:rsidR="005449D8">
        <w:rPr>
          <w:rFonts w:ascii="Arial Narrow" w:hAnsi="Arial Narrow"/>
          <w:b/>
          <w:sz w:val="40"/>
        </w:rPr>
        <w:t xml:space="preserve"> </w:t>
      </w:r>
      <w:r w:rsidR="005449D8">
        <w:rPr>
          <w:rFonts w:ascii="Arial Narrow" w:hAnsi="Arial Narrow"/>
          <w:b/>
          <w:sz w:val="40"/>
        </w:rPr>
        <w:t xml:space="preserve">die </w:t>
      </w:r>
      <w:r w:rsidR="005449D8">
        <w:rPr>
          <w:rFonts w:ascii="Arial Narrow" w:hAnsi="Arial Narrow"/>
          <w:b/>
          <w:sz w:val="40"/>
        </w:rPr>
        <w:t xml:space="preserve">Medizintechnikindustrie </w:t>
      </w:r>
      <w:r w:rsidR="0025445F">
        <w:rPr>
          <w:rFonts w:ascii="Arial Narrow" w:hAnsi="Arial Narrow"/>
          <w:sz w:val="24"/>
          <w:szCs w:val="24"/>
        </w:rPr>
        <w:t>(Stand: 15. Februar 2021)</w:t>
      </w:r>
    </w:p>
    <w:p w14:paraId="5796F871" w14:textId="0DBC9C32" w:rsidR="005449D8" w:rsidRDefault="008F7085" w:rsidP="007B1232">
      <w:pPr>
        <w:rPr>
          <w:rFonts w:ascii="Arial Narrow" w:hAnsi="Arial Narrow"/>
        </w:rPr>
      </w:pPr>
      <w:r>
        <w:rPr>
          <w:noProof/>
          <w:lang w:eastAsia="de-DE"/>
        </w:rPr>
        <w:drawing>
          <wp:anchor distT="0" distB="0" distL="114300" distR="114300" simplePos="0" relativeHeight="251661312" behindDoc="1" locked="0" layoutInCell="1" allowOverlap="1" wp14:anchorId="6E0F9169" wp14:editId="0B406A13">
            <wp:simplePos x="0" y="0"/>
            <wp:positionH relativeFrom="column">
              <wp:posOffset>3002915</wp:posOffset>
            </wp:positionH>
            <wp:positionV relativeFrom="paragraph">
              <wp:posOffset>3752850</wp:posOffset>
            </wp:positionV>
            <wp:extent cx="2752725" cy="1952625"/>
            <wp:effectExtent l="0" t="0" r="9525" b="9525"/>
            <wp:wrapTight wrapText="bothSides">
              <wp:wrapPolygon edited="0">
                <wp:start x="0" y="0"/>
                <wp:lineTo x="0" y="21495"/>
                <wp:lineTo x="21525" y="21495"/>
                <wp:lineTo x="21525" y="0"/>
                <wp:lineTo x="0" y="0"/>
              </wp:wrapPolygon>
            </wp:wrapTight>
            <wp:docPr id="3" name="Grafik 3"/>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2725" cy="1952625"/>
                    </a:xfrm>
                    <a:prstGeom prst="rect">
                      <a:avLst/>
                    </a:prstGeom>
                  </pic:spPr>
                </pic:pic>
              </a:graphicData>
            </a:graphic>
            <wp14:sizeRelH relativeFrom="margin">
              <wp14:pctWidth>0</wp14:pctWidth>
            </wp14:sizeRelH>
            <wp14:sizeRelV relativeFrom="margin">
              <wp14:pctHeight>0</wp14:pctHeight>
            </wp14:sizeRelV>
          </wp:anchor>
        </w:drawing>
      </w:r>
      <w:r w:rsidR="00B4115B" w:rsidRPr="000F3122">
        <w:rPr>
          <w:rFonts w:ascii="Arial Narrow" w:hAnsi="Arial Narrow"/>
          <w:noProof/>
        </w:rPr>
        <mc:AlternateContent>
          <mc:Choice Requires="wps">
            <w:drawing>
              <wp:anchor distT="45720" distB="45720" distL="114300" distR="114300" simplePos="0" relativeHeight="251660288" behindDoc="0" locked="0" layoutInCell="1" allowOverlap="1" wp14:anchorId="39134D2B" wp14:editId="17C0F1CC">
                <wp:simplePos x="0" y="0"/>
                <wp:positionH relativeFrom="column">
                  <wp:posOffset>-61595</wp:posOffset>
                </wp:positionH>
                <wp:positionV relativeFrom="paragraph">
                  <wp:posOffset>1314450</wp:posOffset>
                </wp:positionV>
                <wp:extent cx="6096000" cy="48196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819650"/>
                        </a:xfrm>
                        <a:prstGeom prst="rect">
                          <a:avLst/>
                        </a:prstGeom>
                        <a:solidFill>
                          <a:srgbClr val="FFFFFF"/>
                        </a:solidFill>
                        <a:ln w="9525">
                          <a:solidFill>
                            <a:schemeClr val="tx1"/>
                          </a:solidFill>
                          <a:miter lim="800000"/>
                          <a:headEnd/>
                          <a:tailEnd/>
                        </a:ln>
                      </wps:spPr>
                      <wps:txbx>
                        <w:txbxContent>
                          <w:p w14:paraId="72FA1306" w14:textId="5958465B" w:rsidR="00B4115B" w:rsidRPr="000F3122" w:rsidRDefault="00B4115B" w:rsidP="00B4115B">
                            <w:pPr>
                              <w:rPr>
                                <w:rFonts w:ascii="Arial Narrow" w:hAnsi="Arial Narrow"/>
                                <w:b/>
                              </w:rPr>
                            </w:pPr>
                            <w:r w:rsidRPr="000F3122">
                              <w:rPr>
                                <w:rFonts w:ascii="Arial Narrow" w:hAnsi="Arial Narrow"/>
                                <w:b/>
                              </w:rPr>
                              <w:t>Abgrenzung MedTech-Industrie</w:t>
                            </w:r>
                            <w:r w:rsidRPr="00B4115B">
                              <w:rPr>
                                <w:rFonts w:ascii="Arial Narrow" w:hAnsi="Arial Narrow"/>
                                <w:b/>
                              </w:rPr>
                              <w:t xml:space="preserve"> </w:t>
                            </w:r>
                            <w:r>
                              <w:rPr>
                                <w:rFonts w:ascii="Arial Narrow" w:hAnsi="Arial Narrow"/>
                                <w:b/>
                              </w:rPr>
                              <w:t xml:space="preserve">vs. </w:t>
                            </w:r>
                            <w:r w:rsidRPr="000F3122">
                              <w:rPr>
                                <w:rFonts w:ascii="Arial Narrow" w:hAnsi="Arial Narrow"/>
                                <w:b/>
                              </w:rPr>
                              <w:t>Pharmaindustrie</w:t>
                            </w:r>
                          </w:p>
                          <w:tbl>
                            <w:tblPr>
                              <w:tblStyle w:val="Tabellenraster"/>
                              <w:tblW w:w="0" w:type="auto"/>
                              <w:tblLook w:val="04A0" w:firstRow="1" w:lastRow="0" w:firstColumn="1" w:lastColumn="0" w:noHBand="0" w:noVBand="1"/>
                            </w:tblPr>
                            <w:tblGrid>
                              <w:gridCol w:w="2122"/>
                              <w:gridCol w:w="3402"/>
                              <w:gridCol w:w="3538"/>
                            </w:tblGrid>
                            <w:tr w:rsidR="008F7085" w14:paraId="41E8678C" w14:textId="77777777" w:rsidTr="008F7085">
                              <w:tc>
                                <w:tcPr>
                                  <w:tcW w:w="2122" w:type="dxa"/>
                                  <w:vMerge w:val="restart"/>
                                  <w:shd w:val="pct12" w:color="auto" w:fill="auto"/>
                                </w:tcPr>
                                <w:p w14:paraId="7EB8B6D3" w14:textId="1ABB19CB" w:rsidR="008F7085" w:rsidRPr="008F7085" w:rsidRDefault="008F7085" w:rsidP="008F7085">
                                  <w:pPr>
                                    <w:jc w:val="center"/>
                                    <w:rPr>
                                      <w:rFonts w:ascii="Arial Narrow" w:hAnsi="Arial Narrow"/>
                                      <w:b/>
                                    </w:rPr>
                                  </w:pPr>
                                  <w:r w:rsidRPr="008F7085">
                                    <w:rPr>
                                      <w:rFonts w:ascii="Arial Narrow" w:hAnsi="Arial Narrow"/>
                                      <w:b/>
                                    </w:rPr>
                                    <w:t>2019</w:t>
                                  </w:r>
                                </w:p>
                              </w:tc>
                              <w:tc>
                                <w:tcPr>
                                  <w:tcW w:w="6940" w:type="dxa"/>
                                  <w:gridSpan w:val="2"/>
                                  <w:shd w:val="pct12" w:color="auto" w:fill="auto"/>
                                </w:tcPr>
                                <w:p w14:paraId="0F4AC15B" w14:textId="77777777" w:rsidR="008F7085" w:rsidRPr="009D33FC" w:rsidRDefault="008F7085" w:rsidP="00B4115B">
                                  <w:pPr>
                                    <w:jc w:val="center"/>
                                    <w:rPr>
                                      <w:rFonts w:ascii="Arial Narrow" w:hAnsi="Arial Narrow"/>
                                      <w:b/>
                                    </w:rPr>
                                  </w:pPr>
                                  <w:r w:rsidRPr="009D33FC">
                                    <w:rPr>
                                      <w:rFonts w:ascii="Arial Narrow" w:hAnsi="Arial Narrow"/>
                                      <w:b/>
                                    </w:rPr>
                                    <w:t>Industrielle Gesundheitswirtschaft</w:t>
                                  </w:r>
                                </w:p>
                              </w:tc>
                            </w:tr>
                            <w:tr w:rsidR="008F7085" w14:paraId="5EB02581" w14:textId="77777777" w:rsidTr="008F7085">
                              <w:tc>
                                <w:tcPr>
                                  <w:tcW w:w="2122" w:type="dxa"/>
                                  <w:vMerge/>
                                </w:tcPr>
                                <w:p w14:paraId="0BD93523" w14:textId="77777777" w:rsidR="008F7085" w:rsidRDefault="008F7085" w:rsidP="00B4115B">
                                  <w:pPr>
                                    <w:rPr>
                                      <w:rFonts w:ascii="Arial Narrow" w:hAnsi="Arial Narrow"/>
                                    </w:rPr>
                                  </w:pPr>
                                </w:p>
                              </w:tc>
                              <w:tc>
                                <w:tcPr>
                                  <w:tcW w:w="3402" w:type="dxa"/>
                                  <w:shd w:val="pct20" w:color="auto" w:fill="auto"/>
                                </w:tcPr>
                                <w:p w14:paraId="26D839F0" w14:textId="77777777" w:rsidR="008F7085" w:rsidRPr="009D33FC" w:rsidRDefault="008F7085" w:rsidP="008F7085">
                                  <w:pPr>
                                    <w:jc w:val="center"/>
                                    <w:rPr>
                                      <w:rFonts w:ascii="Arial Narrow" w:hAnsi="Arial Narrow"/>
                                      <w:b/>
                                    </w:rPr>
                                  </w:pPr>
                                  <w:r w:rsidRPr="009D33FC">
                                    <w:rPr>
                                      <w:rFonts w:ascii="Arial Narrow" w:hAnsi="Arial Narrow"/>
                                      <w:b/>
                                    </w:rPr>
                                    <w:t>MedTech-Industrie</w:t>
                                  </w:r>
                                </w:p>
                              </w:tc>
                              <w:tc>
                                <w:tcPr>
                                  <w:tcW w:w="3538" w:type="dxa"/>
                                </w:tcPr>
                                <w:p w14:paraId="503364D5" w14:textId="10174885" w:rsidR="008F7085" w:rsidRPr="009D33FC" w:rsidRDefault="008F7085" w:rsidP="008F7085">
                                  <w:pPr>
                                    <w:jc w:val="center"/>
                                    <w:rPr>
                                      <w:rFonts w:ascii="Arial Narrow" w:hAnsi="Arial Narrow"/>
                                      <w:b/>
                                    </w:rPr>
                                  </w:pPr>
                                  <w:r w:rsidRPr="009D33FC">
                                    <w:rPr>
                                      <w:rFonts w:ascii="Arial Narrow" w:hAnsi="Arial Narrow"/>
                                      <w:b/>
                                    </w:rPr>
                                    <w:t>Pharma-Industrie</w:t>
                                  </w:r>
                                </w:p>
                              </w:tc>
                            </w:tr>
                            <w:tr w:rsidR="00B4115B" w14:paraId="0A4865EF" w14:textId="77777777" w:rsidTr="008F7085">
                              <w:tc>
                                <w:tcPr>
                                  <w:tcW w:w="2122" w:type="dxa"/>
                                </w:tcPr>
                                <w:p w14:paraId="269BB5CF" w14:textId="5A01CF68" w:rsidR="00B4115B" w:rsidRPr="009D33FC" w:rsidRDefault="00B4115B" w:rsidP="008F7085">
                                  <w:pPr>
                                    <w:jc w:val="center"/>
                                    <w:rPr>
                                      <w:rFonts w:ascii="Arial Narrow" w:hAnsi="Arial Narrow"/>
                                      <w:b/>
                                    </w:rPr>
                                  </w:pPr>
                                  <w:r w:rsidRPr="009D33FC">
                                    <w:rPr>
                                      <w:rFonts w:ascii="Arial Narrow" w:hAnsi="Arial Narrow"/>
                                      <w:b/>
                                    </w:rPr>
                                    <w:t>Umsatz</w:t>
                                  </w:r>
                                </w:p>
                              </w:tc>
                              <w:tc>
                                <w:tcPr>
                                  <w:tcW w:w="3402" w:type="dxa"/>
                                  <w:shd w:val="pct20" w:color="auto" w:fill="auto"/>
                                </w:tcPr>
                                <w:p w14:paraId="3E9A87E9" w14:textId="77777777" w:rsidR="00B4115B" w:rsidRDefault="00B4115B" w:rsidP="008F7085">
                                  <w:pPr>
                                    <w:jc w:val="center"/>
                                    <w:rPr>
                                      <w:rFonts w:ascii="Arial Narrow" w:hAnsi="Arial Narrow"/>
                                    </w:rPr>
                                  </w:pPr>
                                  <w:r>
                                    <w:rPr>
                                      <w:rFonts w:ascii="Arial Narrow" w:hAnsi="Arial Narrow"/>
                                    </w:rPr>
                                    <w:t>33,3 Mrd. Euro</w:t>
                                  </w:r>
                                </w:p>
                              </w:tc>
                              <w:tc>
                                <w:tcPr>
                                  <w:tcW w:w="3538" w:type="dxa"/>
                                </w:tcPr>
                                <w:p w14:paraId="495CDAF3" w14:textId="77777777" w:rsidR="00B4115B" w:rsidRDefault="00B4115B" w:rsidP="008F7085">
                                  <w:pPr>
                                    <w:jc w:val="center"/>
                                    <w:rPr>
                                      <w:rFonts w:ascii="Arial Narrow" w:hAnsi="Arial Narrow"/>
                                    </w:rPr>
                                  </w:pPr>
                                  <w:r>
                                    <w:rPr>
                                      <w:rFonts w:ascii="Arial Narrow" w:hAnsi="Arial Narrow"/>
                                    </w:rPr>
                                    <w:t>46,4 Mrd. Euro</w:t>
                                  </w:r>
                                </w:p>
                              </w:tc>
                            </w:tr>
                            <w:tr w:rsidR="00B4115B" w14:paraId="380D177D" w14:textId="77777777" w:rsidTr="008F7085">
                              <w:tc>
                                <w:tcPr>
                                  <w:tcW w:w="2122" w:type="dxa"/>
                                </w:tcPr>
                                <w:p w14:paraId="167B4A82" w14:textId="127EAA31" w:rsidR="00B4115B" w:rsidRPr="009D33FC" w:rsidRDefault="00B4115B" w:rsidP="008F7085">
                                  <w:pPr>
                                    <w:jc w:val="center"/>
                                    <w:rPr>
                                      <w:rFonts w:ascii="Arial Narrow" w:hAnsi="Arial Narrow"/>
                                      <w:b/>
                                    </w:rPr>
                                  </w:pPr>
                                  <w:r w:rsidRPr="009D33FC">
                                    <w:rPr>
                                      <w:rFonts w:ascii="Arial Narrow" w:hAnsi="Arial Narrow"/>
                                      <w:b/>
                                    </w:rPr>
                                    <w:t>Beschäftigte</w:t>
                                  </w:r>
                                </w:p>
                              </w:tc>
                              <w:tc>
                                <w:tcPr>
                                  <w:tcW w:w="3402" w:type="dxa"/>
                                  <w:shd w:val="pct20" w:color="auto" w:fill="auto"/>
                                </w:tcPr>
                                <w:p w14:paraId="12E6180C" w14:textId="2053D260" w:rsidR="00B4115B" w:rsidRDefault="00B4115B" w:rsidP="008F7085">
                                  <w:pPr>
                                    <w:jc w:val="center"/>
                                    <w:rPr>
                                      <w:rFonts w:ascii="Arial Narrow" w:hAnsi="Arial Narrow"/>
                                    </w:rPr>
                                  </w:pPr>
                                  <w:r>
                                    <w:rPr>
                                      <w:rFonts w:ascii="Arial Narrow" w:hAnsi="Arial Narrow"/>
                                    </w:rPr>
                                    <w:t xml:space="preserve">ca. 150.000 </w:t>
                                  </w:r>
                                  <w:r w:rsidR="008F7085">
                                    <w:rPr>
                                      <w:rFonts w:ascii="Arial Narrow" w:hAnsi="Arial Narrow"/>
                                    </w:rPr>
                                    <w:br/>
                                  </w:r>
                                  <w:r>
                                    <w:rPr>
                                      <w:rFonts w:ascii="Arial Narrow" w:hAnsi="Arial Narrow"/>
                                    </w:rPr>
                                    <w:t>(235.000 inkl. Kleinstbetriebe)</w:t>
                                  </w:r>
                                </w:p>
                              </w:tc>
                              <w:tc>
                                <w:tcPr>
                                  <w:tcW w:w="3538" w:type="dxa"/>
                                </w:tcPr>
                                <w:p w14:paraId="20354E64" w14:textId="77777777" w:rsidR="00B4115B" w:rsidRDefault="00B4115B" w:rsidP="008F7085">
                                  <w:pPr>
                                    <w:jc w:val="center"/>
                                    <w:rPr>
                                      <w:rFonts w:ascii="Arial Narrow" w:hAnsi="Arial Narrow"/>
                                    </w:rPr>
                                  </w:pPr>
                                  <w:r>
                                    <w:rPr>
                                      <w:rFonts w:ascii="Arial Narrow" w:hAnsi="Arial Narrow"/>
                                    </w:rPr>
                                    <w:t>ca. 141.000</w:t>
                                  </w:r>
                                </w:p>
                              </w:tc>
                            </w:tr>
                            <w:tr w:rsidR="00B4115B" w14:paraId="2D5278F6" w14:textId="77777777" w:rsidTr="008F7085">
                              <w:tc>
                                <w:tcPr>
                                  <w:tcW w:w="2122" w:type="dxa"/>
                                </w:tcPr>
                                <w:p w14:paraId="694AE2FC" w14:textId="77777777" w:rsidR="00B4115B" w:rsidRPr="009D33FC" w:rsidRDefault="00B4115B" w:rsidP="008F7085">
                                  <w:pPr>
                                    <w:jc w:val="center"/>
                                    <w:rPr>
                                      <w:rFonts w:ascii="Symbol" w:hAnsi="Symbol"/>
                                      <w:b/>
                                    </w:rPr>
                                  </w:pPr>
                                  <w:r w:rsidRPr="009D33FC">
                                    <w:rPr>
                                      <w:rFonts w:ascii="Arial Narrow" w:hAnsi="Arial Narrow"/>
                                      <w:b/>
                                    </w:rPr>
                                    <w:t>Betriebe</w:t>
                                  </w:r>
                                </w:p>
                              </w:tc>
                              <w:tc>
                                <w:tcPr>
                                  <w:tcW w:w="3402" w:type="dxa"/>
                                  <w:shd w:val="pct20" w:color="auto" w:fill="auto"/>
                                </w:tcPr>
                                <w:p w14:paraId="78F2CFCF" w14:textId="6845D4CE" w:rsidR="00B4115B" w:rsidRDefault="00B4115B" w:rsidP="008F7085">
                                  <w:pPr>
                                    <w:jc w:val="center"/>
                                    <w:rPr>
                                      <w:rFonts w:ascii="Arial Narrow" w:hAnsi="Arial Narrow"/>
                                    </w:rPr>
                                  </w:pPr>
                                  <w:r>
                                    <w:rPr>
                                      <w:rFonts w:ascii="Arial Narrow" w:hAnsi="Arial Narrow"/>
                                    </w:rPr>
                                    <w:t>1.418 (11.300 inkl. Kleinstbetriebe)</w:t>
                                  </w:r>
                                </w:p>
                              </w:tc>
                              <w:tc>
                                <w:tcPr>
                                  <w:tcW w:w="3538" w:type="dxa"/>
                                </w:tcPr>
                                <w:p w14:paraId="161B387B" w14:textId="77777777" w:rsidR="00B4115B" w:rsidRDefault="00B4115B" w:rsidP="008F7085">
                                  <w:pPr>
                                    <w:jc w:val="center"/>
                                    <w:rPr>
                                      <w:rFonts w:ascii="Arial Narrow" w:hAnsi="Arial Narrow"/>
                                    </w:rPr>
                                  </w:pPr>
                                  <w:r>
                                    <w:rPr>
                                      <w:rFonts w:ascii="Arial Narrow" w:hAnsi="Arial Narrow"/>
                                    </w:rPr>
                                    <w:t>ca. 510</w:t>
                                  </w:r>
                                </w:p>
                              </w:tc>
                            </w:tr>
                            <w:tr w:rsidR="00B4115B" w14:paraId="17631345" w14:textId="77777777" w:rsidTr="008F7085">
                              <w:tc>
                                <w:tcPr>
                                  <w:tcW w:w="2122" w:type="dxa"/>
                                </w:tcPr>
                                <w:p w14:paraId="4FF74AA3" w14:textId="77777777" w:rsidR="00B4115B" w:rsidRPr="009D33FC" w:rsidRDefault="00B4115B" w:rsidP="008F7085">
                                  <w:pPr>
                                    <w:jc w:val="center"/>
                                    <w:rPr>
                                      <w:rFonts w:ascii="Arial Narrow" w:hAnsi="Arial Narrow"/>
                                      <w:b/>
                                    </w:rPr>
                                  </w:pPr>
                                  <w:r w:rsidRPr="009D33FC">
                                    <w:rPr>
                                      <w:rFonts w:ascii="Arial Narrow" w:hAnsi="Arial Narrow"/>
                                      <w:b/>
                                    </w:rPr>
                                    <w:t>Mittelstandsquote</w:t>
                                  </w:r>
                                </w:p>
                              </w:tc>
                              <w:tc>
                                <w:tcPr>
                                  <w:tcW w:w="3402" w:type="dxa"/>
                                  <w:shd w:val="pct20" w:color="auto" w:fill="auto"/>
                                </w:tcPr>
                                <w:p w14:paraId="5CF71DD0" w14:textId="77777777" w:rsidR="00B4115B" w:rsidRDefault="00B4115B" w:rsidP="008F7085">
                                  <w:pPr>
                                    <w:jc w:val="center"/>
                                    <w:rPr>
                                      <w:rFonts w:ascii="Arial Narrow" w:hAnsi="Arial Narrow"/>
                                    </w:rPr>
                                  </w:pPr>
                                  <w:r>
                                    <w:rPr>
                                      <w:rFonts w:ascii="Arial Narrow" w:hAnsi="Arial Narrow"/>
                                    </w:rPr>
                                    <w:t>&gt; 93 Prozent (&lt; 250 Mitarbeiter)</w:t>
                                  </w:r>
                                </w:p>
                              </w:tc>
                              <w:tc>
                                <w:tcPr>
                                  <w:tcW w:w="3538" w:type="dxa"/>
                                </w:tcPr>
                                <w:p w14:paraId="0F3FA329" w14:textId="77777777" w:rsidR="00B4115B" w:rsidRDefault="00B4115B" w:rsidP="008F7085">
                                  <w:pPr>
                                    <w:jc w:val="center"/>
                                    <w:rPr>
                                      <w:rFonts w:ascii="Arial Narrow" w:hAnsi="Arial Narrow"/>
                                    </w:rPr>
                                  </w:pPr>
                                  <w:r>
                                    <w:rPr>
                                      <w:rFonts w:ascii="Arial Narrow" w:hAnsi="Arial Narrow"/>
                                    </w:rPr>
                                    <w:t>91 Prozent (&lt; 500 Mitarbeiter)</w:t>
                                  </w:r>
                                </w:p>
                              </w:tc>
                            </w:tr>
                            <w:tr w:rsidR="00B4115B" w14:paraId="6F6ED371" w14:textId="77777777" w:rsidTr="008F7085">
                              <w:tc>
                                <w:tcPr>
                                  <w:tcW w:w="2122" w:type="dxa"/>
                                </w:tcPr>
                                <w:p w14:paraId="4EE6FA75" w14:textId="77777777" w:rsidR="00B4115B" w:rsidRPr="009D33FC" w:rsidRDefault="00B4115B" w:rsidP="008F7085">
                                  <w:pPr>
                                    <w:jc w:val="center"/>
                                    <w:rPr>
                                      <w:rFonts w:ascii="Arial Narrow" w:hAnsi="Arial Narrow"/>
                                      <w:b/>
                                    </w:rPr>
                                  </w:pPr>
                                  <w:r w:rsidRPr="009D33FC">
                                    <w:rPr>
                                      <w:rFonts w:ascii="Arial Narrow" w:hAnsi="Arial Narrow"/>
                                      <w:b/>
                                    </w:rPr>
                                    <w:t>F&amp;E-Quote</w:t>
                                  </w:r>
                                </w:p>
                              </w:tc>
                              <w:tc>
                                <w:tcPr>
                                  <w:tcW w:w="3402" w:type="dxa"/>
                                  <w:shd w:val="pct20" w:color="auto" w:fill="auto"/>
                                </w:tcPr>
                                <w:p w14:paraId="0E2343C8" w14:textId="77777777" w:rsidR="00B4115B" w:rsidRDefault="00B4115B" w:rsidP="008F7085">
                                  <w:pPr>
                                    <w:jc w:val="center"/>
                                    <w:rPr>
                                      <w:rFonts w:ascii="Arial Narrow" w:hAnsi="Arial Narrow"/>
                                    </w:rPr>
                                  </w:pPr>
                                  <w:r>
                                    <w:rPr>
                                      <w:rFonts w:ascii="Arial Narrow" w:hAnsi="Arial Narrow"/>
                                    </w:rPr>
                                    <w:t>ca. 9 Prozent</w:t>
                                  </w:r>
                                </w:p>
                              </w:tc>
                              <w:tc>
                                <w:tcPr>
                                  <w:tcW w:w="3538" w:type="dxa"/>
                                </w:tcPr>
                                <w:p w14:paraId="79EC0AFF" w14:textId="77777777" w:rsidR="00B4115B" w:rsidRDefault="00B4115B" w:rsidP="008F7085">
                                  <w:pPr>
                                    <w:jc w:val="center"/>
                                    <w:rPr>
                                      <w:rFonts w:ascii="Arial Narrow" w:hAnsi="Arial Narrow"/>
                                    </w:rPr>
                                  </w:pPr>
                                  <w:r>
                                    <w:rPr>
                                      <w:rFonts w:ascii="Arial Narrow" w:hAnsi="Arial Narrow"/>
                                    </w:rPr>
                                    <w:t>ca. 14 Prozent</w:t>
                                  </w:r>
                                </w:p>
                              </w:tc>
                            </w:tr>
                            <w:tr w:rsidR="00B4115B" w14:paraId="75C7FEBF" w14:textId="77777777" w:rsidTr="008F7085">
                              <w:tc>
                                <w:tcPr>
                                  <w:tcW w:w="2122" w:type="dxa"/>
                                </w:tcPr>
                                <w:p w14:paraId="09B28B2B" w14:textId="77777777" w:rsidR="00B4115B" w:rsidRPr="009D33FC" w:rsidRDefault="00B4115B" w:rsidP="008F7085">
                                  <w:pPr>
                                    <w:jc w:val="center"/>
                                    <w:rPr>
                                      <w:rFonts w:ascii="Arial Narrow" w:hAnsi="Arial Narrow"/>
                                      <w:b/>
                                    </w:rPr>
                                  </w:pPr>
                                  <w:r>
                                    <w:rPr>
                                      <w:rFonts w:ascii="Arial Narrow" w:hAnsi="Arial Narrow"/>
                                      <w:b/>
                                    </w:rPr>
                                    <w:t>Exportquote</w:t>
                                  </w:r>
                                </w:p>
                              </w:tc>
                              <w:tc>
                                <w:tcPr>
                                  <w:tcW w:w="3402" w:type="dxa"/>
                                  <w:shd w:val="pct20" w:color="auto" w:fill="auto"/>
                                </w:tcPr>
                                <w:p w14:paraId="2191A081" w14:textId="77777777" w:rsidR="00B4115B" w:rsidRDefault="00B4115B" w:rsidP="008F7085">
                                  <w:pPr>
                                    <w:jc w:val="center"/>
                                    <w:rPr>
                                      <w:rFonts w:ascii="Arial Narrow" w:hAnsi="Arial Narrow"/>
                                    </w:rPr>
                                  </w:pPr>
                                  <w:r>
                                    <w:rPr>
                                      <w:rFonts w:ascii="Arial Narrow" w:hAnsi="Arial Narrow"/>
                                    </w:rPr>
                                    <w:t>ca. 66 Prozent</w:t>
                                  </w:r>
                                </w:p>
                              </w:tc>
                              <w:tc>
                                <w:tcPr>
                                  <w:tcW w:w="3538" w:type="dxa"/>
                                </w:tcPr>
                                <w:p w14:paraId="6AC72AF6" w14:textId="77777777" w:rsidR="00B4115B" w:rsidRDefault="00B4115B" w:rsidP="008F7085">
                                  <w:pPr>
                                    <w:jc w:val="center"/>
                                    <w:rPr>
                                      <w:rFonts w:ascii="Arial Narrow" w:hAnsi="Arial Narrow"/>
                                    </w:rPr>
                                  </w:pPr>
                                  <w:r>
                                    <w:rPr>
                                      <w:rFonts w:ascii="Arial Narrow" w:hAnsi="Arial Narrow"/>
                                    </w:rPr>
                                    <w:t>ca. 53 Prozent</w:t>
                                  </w:r>
                                </w:p>
                              </w:tc>
                            </w:tr>
                          </w:tbl>
                          <w:p w14:paraId="268EE902" w14:textId="77777777" w:rsidR="00B4115B" w:rsidRDefault="00B4115B" w:rsidP="00B4115B">
                            <w:pPr>
                              <w:rPr>
                                <w:rFonts w:ascii="Arial Narrow" w:hAnsi="Arial Narrow"/>
                              </w:rPr>
                            </w:pPr>
                          </w:p>
                          <w:p w14:paraId="19F8DD3B" w14:textId="7B4BD09C" w:rsidR="00B4115B" w:rsidRPr="00B4115B" w:rsidRDefault="00B4115B" w:rsidP="00B4115B">
                            <w:pPr>
                              <w:rPr>
                                <w:rFonts w:ascii="Arial Narrow" w:hAnsi="Arial Narrow"/>
                                <w:b/>
                              </w:rPr>
                            </w:pPr>
                            <w:r w:rsidRPr="00B4115B">
                              <w:rPr>
                                <w:rFonts w:ascii="Arial Narrow" w:hAnsi="Arial Narrow"/>
                                <w:b/>
                              </w:rPr>
                              <w:t>Medizinprodukte sind keine Arzneimittel</w:t>
                            </w:r>
                          </w:p>
                          <w:p w14:paraId="4ABA65AC" w14:textId="77777777" w:rsidR="008F7085" w:rsidRDefault="00B4115B" w:rsidP="00B4115B">
                            <w:pPr>
                              <w:rPr>
                                <w:rFonts w:ascii="Arial Narrow" w:hAnsi="Arial Narrow"/>
                              </w:rPr>
                            </w:pPr>
                            <w:r w:rsidRPr="00B4115B">
                              <w:rPr>
                                <w:rFonts w:ascii="Arial Narrow" w:hAnsi="Arial Narrow"/>
                              </w:rPr>
                              <w:t>Medizinprodukte unterscheiden sich grundsätzlich</w:t>
                            </w:r>
                            <w:r w:rsidRPr="00B4115B">
                              <w:rPr>
                                <w:rFonts w:ascii="Arial Narrow" w:hAnsi="Arial Narrow"/>
                              </w:rPr>
                              <w:t xml:space="preserve"> </w:t>
                            </w:r>
                            <w:r w:rsidRPr="00B4115B">
                              <w:rPr>
                                <w:rFonts w:ascii="Arial Narrow" w:hAnsi="Arial Narrow"/>
                              </w:rPr>
                              <w:t xml:space="preserve">von </w:t>
                            </w:r>
                            <w:r>
                              <w:rPr>
                                <w:rFonts w:ascii="Arial Narrow" w:hAnsi="Arial Narrow"/>
                              </w:rPr>
                              <w:br/>
                            </w:r>
                            <w:r w:rsidRPr="00B4115B">
                              <w:rPr>
                                <w:rFonts w:ascii="Arial Narrow" w:hAnsi="Arial Narrow"/>
                              </w:rPr>
                              <w:t>Arzneimitteln, insbesondere</w:t>
                            </w:r>
                            <w:r w:rsidRPr="00B4115B">
                              <w:rPr>
                                <w:rFonts w:ascii="Arial Narrow" w:hAnsi="Arial Narrow"/>
                              </w:rPr>
                              <w:t xml:space="preserve"> </w:t>
                            </w:r>
                            <w:r w:rsidRPr="00B4115B">
                              <w:rPr>
                                <w:rFonts w:ascii="Arial Narrow" w:hAnsi="Arial Narrow"/>
                              </w:rPr>
                              <w:t xml:space="preserve">hinsichtlich ihrer Wirkung, </w:t>
                            </w:r>
                            <w:r>
                              <w:rPr>
                                <w:rFonts w:ascii="Arial Narrow" w:hAnsi="Arial Narrow"/>
                              </w:rPr>
                              <w:br/>
                            </w:r>
                            <w:r w:rsidRPr="00B4115B">
                              <w:rPr>
                                <w:rFonts w:ascii="Arial Narrow" w:hAnsi="Arial Narrow"/>
                              </w:rPr>
                              <w:t>der gesetzlichen</w:t>
                            </w:r>
                            <w:r w:rsidRPr="00B4115B">
                              <w:rPr>
                                <w:rFonts w:ascii="Arial Narrow" w:hAnsi="Arial Narrow"/>
                              </w:rPr>
                              <w:t xml:space="preserve"> </w:t>
                            </w:r>
                            <w:r w:rsidRPr="00B4115B">
                              <w:rPr>
                                <w:rFonts w:ascii="Arial Narrow" w:hAnsi="Arial Narrow"/>
                              </w:rPr>
                              <w:t>Anforderungen für die Zulassung, der</w:t>
                            </w:r>
                            <w:r w:rsidRPr="00B4115B">
                              <w:rPr>
                                <w:rFonts w:ascii="Arial Narrow" w:hAnsi="Arial Narrow"/>
                              </w:rPr>
                              <w:t xml:space="preserve"> </w:t>
                            </w:r>
                            <w:r>
                              <w:rPr>
                                <w:rFonts w:ascii="Arial Narrow" w:hAnsi="Arial Narrow"/>
                              </w:rPr>
                              <w:br/>
                            </w:r>
                            <w:r w:rsidRPr="00B4115B">
                              <w:rPr>
                                <w:rFonts w:ascii="Arial Narrow" w:hAnsi="Arial Narrow"/>
                              </w:rPr>
                              <w:t>Sicherheit, der Innovationszyklen und der</w:t>
                            </w:r>
                            <w:r w:rsidRPr="00B4115B">
                              <w:rPr>
                                <w:rFonts w:ascii="Arial Narrow" w:hAnsi="Arial Narrow"/>
                              </w:rPr>
                              <w:t xml:space="preserve"> </w:t>
                            </w:r>
                            <w:r>
                              <w:rPr>
                                <w:rFonts w:ascii="Arial Narrow" w:hAnsi="Arial Narrow"/>
                              </w:rPr>
                              <w:br/>
                            </w:r>
                            <w:r w:rsidRPr="00B4115B">
                              <w:rPr>
                                <w:rFonts w:ascii="Arial Narrow" w:hAnsi="Arial Narrow"/>
                              </w:rPr>
                              <w:t>Marktüberwachung.</w:t>
                            </w:r>
                            <w:r w:rsidRPr="00B4115B">
                              <w:rPr>
                                <w:rFonts w:ascii="Arial Narrow" w:hAnsi="Arial Narrow"/>
                              </w:rPr>
                              <w:t xml:space="preserve"> </w:t>
                            </w:r>
                            <w:r w:rsidRPr="00B4115B">
                              <w:rPr>
                                <w:rFonts w:ascii="Arial Narrow" w:hAnsi="Arial Narrow"/>
                              </w:rPr>
                              <w:t xml:space="preserve">Als Medizinprodukt werden unter </w:t>
                            </w:r>
                            <w:r>
                              <w:rPr>
                                <w:rFonts w:ascii="Arial Narrow" w:hAnsi="Arial Narrow"/>
                              </w:rPr>
                              <w:br/>
                            </w:r>
                            <w:r w:rsidRPr="00B4115B">
                              <w:rPr>
                                <w:rFonts w:ascii="Arial Narrow" w:hAnsi="Arial Narrow"/>
                              </w:rPr>
                              <w:t>anderem</w:t>
                            </w:r>
                            <w:r w:rsidRPr="00B4115B">
                              <w:rPr>
                                <w:rFonts w:ascii="Arial Narrow" w:hAnsi="Arial Narrow"/>
                              </w:rPr>
                              <w:t xml:space="preserve"> </w:t>
                            </w:r>
                            <w:r w:rsidRPr="00B4115B">
                              <w:rPr>
                                <w:rFonts w:ascii="Arial Narrow" w:hAnsi="Arial Narrow"/>
                              </w:rPr>
                              <w:t>Apparate, Gegenstände, Stoffe und auch</w:t>
                            </w:r>
                            <w:r w:rsidRPr="00B4115B">
                              <w:rPr>
                                <w:rFonts w:ascii="Arial Narrow" w:hAnsi="Arial Narrow"/>
                              </w:rPr>
                              <w:t xml:space="preserve"> </w:t>
                            </w:r>
                            <w:r>
                              <w:rPr>
                                <w:rFonts w:ascii="Arial Narrow" w:hAnsi="Arial Narrow"/>
                              </w:rPr>
                              <w:br/>
                            </w:r>
                            <w:r w:rsidRPr="00B4115B">
                              <w:rPr>
                                <w:rFonts w:ascii="Arial Narrow" w:hAnsi="Arial Narrow"/>
                              </w:rPr>
                              <w:t>Software bezeichnet, die zu therapeutischen</w:t>
                            </w:r>
                            <w:r w:rsidRPr="00B4115B">
                              <w:rPr>
                                <w:rFonts w:ascii="Arial Narrow" w:hAnsi="Arial Narrow"/>
                              </w:rPr>
                              <w:t xml:space="preserve"> </w:t>
                            </w:r>
                            <w:r w:rsidRPr="00B4115B">
                              <w:rPr>
                                <w:rFonts w:ascii="Arial Narrow" w:hAnsi="Arial Narrow"/>
                              </w:rPr>
                              <w:t xml:space="preserve">oder </w:t>
                            </w:r>
                            <w:r>
                              <w:rPr>
                                <w:rFonts w:ascii="Arial Narrow" w:hAnsi="Arial Narrow"/>
                              </w:rPr>
                              <w:br/>
                            </w:r>
                            <w:r w:rsidRPr="00B4115B">
                              <w:rPr>
                                <w:rFonts w:ascii="Arial Narrow" w:hAnsi="Arial Narrow"/>
                              </w:rPr>
                              <w:t>diagnostischen Zwecken für</w:t>
                            </w:r>
                            <w:r w:rsidRPr="00B4115B">
                              <w:rPr>
                                <w:rFonts w:ascii="Arial Narrow" w:hAnsi="Arial Narrow"/>
                              </w:rPr>
                              <w:t xml:space="preserve"> </w:t>
                            </w:r>
                            <w:r w:rsidRPr="00B4115B">
                              <w:rPr>
                                <w:rFonts w:ascii="Arial Narrow" w:hAnsi="Arial Narrow"/>
                              </w:rPr>
                              <w:t xml:space="preserve">Menschen verwendet </w:t>
                            </w:r>
                            <w:r>
                              <w:rPr>
                                <w:rFonts w:ascii="Arial Narrow" w:hAnsi="Arial Narrow"/>
                              </w:rPr>
                              <w:br/>
                            </w:r>
                            <w:r w:rsidRPr="00B4115B">
                              <w:rPr>
                                <w:rFonts w:ascii="Arial Narrow" w:hAnsi="Arial Narrow"/>
                              </w:rPr>
                              <w:t>werden, wobei die</w:t>
                            </w:r>
                            <w:r w:rsidRPr="00B4115B">
                              <w:rPr>
                                <w:rFonts w:ascii="Arial Narrow" w:hAnsi="Arial Narrow"/>
                              </w:rPr>
                              <w:t xml:space="preserve"> </w:t>
                            </w:r>
                            <w:r w:rsidRPr="00B4115B">
                              <w:rPr>
                                <w:rFonts w:ascii="Arial Narrow" w:hAnsi="Arial Narrow"/>
                              </w:rPr>
                              <w:t xml:space="preserve">bestimmungsgemäße Hauptwirkung </w:t>
                            </w:r>
                            <w:r>
                              <w:rPr>
                                <w:rFonts w:ascii="Arial Narrow" w:hAnsi="Arial Narrow"/>
                              </w:rPr>
                              <w:br/>
                            </w:r>
                            <w:r w:rsidRPr="00B4115B">
                              <w:rPr>
                                <w:rFonts w:ascii="Arial Narrow" w:hAnsi="Arial Narrow"/>
                              </w:rPr>
                              <w:t>im</w:t>
                            </w:r>
                            <w:r w:rsidRPr="00B4115B">
                              <w:rPr>
                                <w:rFonts w:ascii="Arial Narrow" w:hAnsi="Arial Narrow"/>
                              </w:rPr>
                              <w:t xml:space="preserve"> </w:t>
                            </w:r>
                            <w:r w:rsidRPr="00B4115B">
                              <w:rPr>
                                <w:rFonts w:ascii="Arial Narrow" w:hAnsi="Arial Narrow"/>
                              </w:rPr>
                              <w:t>Unterschied zu Arzneimitteln primär nicht</w:t>
                            </w:r>
                            <w:r w:rsidRPr="00B4115B">
                              <w:rPr>
                                <w:rFonts w:ascii="Arial Narrow" w:hAnsi="Arial Narrow"/>
                              </w:rPr>
                              <w:t xml:space="preserve"> </w:t>
                            </w:r>
                            <w:r>
                              <w:rPr>
                                <w:rFonts w:ascii="Arial Narrow" w:hAnsi="Arial Narrow"/>
                              </w:rPr>
                              <w:br/>
                            </w:r>
                            <w:r w:rsidRPr="00B4115B">
                              <w:rPr>
                                <w:rFonts w:ascii="Arial Narrow" w:hAnsi="Arial Narrow"/>
                              </w:rPr>
                              <w:t>pharmakologisch, metabolisch oder immunologisch,</w:t>
                            </w:r>
                            <w:r w:rsidRPr="00B4115B">
                              <w:rPr>
                                <w:rFonts w:ascii="Arial Narrow" w:hAnsi="Arial Narrow"/>
                              </w:rPr>
                              <w:t xml:space="preserve"> </w:t>
                            </w:r>
                            <w:r>
                              <w:rPr>
                                <w:rFonts w:ascii="Arial Narrow" w:hAnsi="Arial Narrow"/>
                              </w:rPr>
                              <w:br/>
                            </w:r>
                            <w:r w:rsidRPr="00B4115B">
                              <w:rPr>
                                <w:rFonts w:ascii="Arial Narrow" w:hAnsi="Arial Narrow"/>
                              </w:rPr>
                              <w:t>sondern meist physikalisch oder</w:t>
                            </w:r>
                            <w:r w:rsidRPr="00B4115B">
                              <w:rPr>
                                <w:rFonts w:ascii="Arial Narrow" w:hAnsi="Arial Narrow"/>
                              </w:rPr>
                              <w:t xml:space="preserve"> </w:t>
                            </w:r>
                            <w:r w:rsidRPr="00B4115B">
                              <w:rPr>
                                <w:rFonts w:ascii="Arial Narrow" w:hAnsi="Arial Narrow"/>
                              </w:rPr>
                              <w:t>physikochemisch erfolgt.</w:t>
                            </w:r>
                          </w:p>
                          <w:p w14:paraId="7912F287" w14:textId="736FABC0" w:rsidR="000F3122" w:rsidRPr="00B4115B" w:rsidRDefault="00B4115B" w:rsidP="00B4115B">
                            <w:pPr>
                              <w:rPr>
                                <w:rFonts w:ascii="Arial Narrow" w:hAnsi="Arial Narrow"/>
                              </w:rPr>
                            </w:pPr>
                            <w:r w:rsidRPr="00B4115B">
                              <w:rPr>
                                <w:rFonts w:ascii="Arial Narrow" w:hAnsi="Arial Narrow"/>
                              </w:rPr>
                              <w:t>In Deutschland befinden sich über 4</w:t>
                            </w:r>
                            <w:r w:rsidRPr="00B4115B">
                              <w:rPr>
                                <w:rFonts w:ascii="Arial Narrow" w:hAnsi="Arial Narrow"/>
                              </w:rPr>
                              <w:t>0</w:t>
                            </w:r>
                            <w:r w:rsidRPr="00B4115B">
                              <w:rPr>
                                <w:rFonts w:ascii="Arial Narrow" w:hAnsi="Arial Narrow"/>
                              </w:rPr>
                              <w:t>0.000</w:t>
                            </w:r>
                            <w:r>
                              <w:rPr>
                                <w:rFonts w:ascii="Arial Narrow" w:hAnsi="Arial Narrow"/>
                              </w:rPr>
                              <w:t xml:space="preserve"> </w:t>
                            </w:r>
                            <w:r w:rsidRPr="00B4115B">
                              <w:rPr>
                                <w:rFonts w:ascii="Arial Narrow" w:hAnsi="Arial Narrow"/>
                              </w:rPr>
                              <w:t>Medizinprodukte auf dem Markt.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34D2B" id="_x0000_t202" coordsize="21600,21600" o:spt="202" path="m,l,21600r21600,l21600,xe">
                <v:stroke joinstyle="miter"/>
                <v:path gradientshapeok="t" o:connecttype="rect"/>
              </v:shapetype>
              <v:shape id="Textfeld 2" o:spid="_x0000_s1026" type="#_x0000_t202" style="position:absolute;margin-left:-4.85pt;margin-top:103.5pt;width:480pt;height:37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" strokecolor="black [3213]">
                <v:textbox>
                  <w:txbxContent>
                    <w:p w14:paraId="72FA1306" w14:textId="5958465B" w:rsidR="00B4115B" w:rsidRPr="000F3122" w:rsidRDefault="00B4115B" w:rsidP="00B4115B">
                      <w:pPr>
                        <w:rPr>
                          <w:rFonts w:ascii="Arial Narrow" w:hAnsi="Arial Narrow"/>
                          <w:b/>
                        </w:rPr>
                      </w:pPr>
                      <w:r w:rsidRPr="000F3122">
                        <w:rPr>
                          <w:rFonts w:ascii="Arial Narrow" w:hAnsi="Arial Narrow"/>
                          <w:b/>
                        </w:rPr>
                        <w:t>Abgrenzung MedTech-Industrie</w:t>
                      </w:r>
                      <w:r w:rsidRPr="00B4115B">
                        <w:rPr>
                          <w:rFonts w:ascii="Arial Narrow" w:hAnsi="Arial Narrow"/>
                          <w:b/>
                        </w:rPr>
                        <w:t xml:space="preserve"> </w:t>
                      </w:r>
                      <w:r>
                        <w:rPr>
                          <w:rFonts w:ascii="Arial Narrow" w:hAnsi="Arial Narrow"/>
                          <w:b/>
                        </w:rPr>
                        <w:t xml:space="preserve">vs. </w:t>
                      </w:r>
                      <w:r w:rsidRPr="000F3122">
                        <w:rPr>
                          <w:rFonts w:ascii="Arial Narrow" w:hAnsi="Arial Narrow"/>
                          <w:b/>
                        </w:rPr>
                        <w:t>Pharmaindustrie</w:t>
                      </w:r>
                    </w:p>
                    <w:tbl>
                      <w:tblPr>
                        <w:tblStyle w:val="Tabellenraster"/>
                        <w:tblW w:w="0" w:type="auto"/>
                        <w:tblLook w:val="04A0" w:firstRow="1" w:lastRow="0" w:firstColumn="1" w:lastColumn="0" w:noHBand="0" w:noVBand="1"/>
                      </w:tblPr>
                      <w:tblGrid>
                        <w:gridCol w:w="2122"/>
                        <w:gridCol w:w="3402"/>
                        <w:gridCol w:w="3538"/>
                      </w:tblGrid>
                      <w:tr w:rsidR="008F7085" w14:paraId="41E8678C" w14:textId="77777777" w:rsidTr="008F7085">
                        <w:tc>
                          <w:tcPr>
                            <w:tcW w:w="2122" w:type="dxa"/>
                            <w:vMerge w:val="restart"/>
                            <w:shd w:val="pct12" w:color="auto" w:fill="auto"/>
                          </w:tcPr>
                          <w:p w14:paraId="7EB8B6D3" w14:textId="1ABB19CB" w:rsidR="008F7085" w:rsidRPr="008F7085" w:rsidRDefault="008F7085" w:rsidP="008F7085">
                            <w:pPr>
                              <w:jc w:val="center"/>
                              <w:rPr>
                                <w:rFonts w:ascii="Arial Narrow" w:hAnsi="Arial Narrow"/>
                                <w:b/>
                              </w:rPr>
                            </w:pPr>
                            <w:r w:rsidRPr="008F7085">
                              <w:rPr>
                                <w:rFonts w:ascii="Arial Narrow" w:hAnsi="Arial Narrow"/>
                                <w:b/>
                              </w:rPr>
                              <w:t>2019</w:t>
                            </w:r>
                          </w:p>
                        </w:tc>
                        <w:tc>
                          <w:tcPr>
                            <w:tcW w:w="6940" w:type="dxa"/>
                            <w:gridSpan w:val="2"/>
                            <w:shd w:val="pct12" w:color="auto" w:fill="auto"/>
                          </w:tcPr>
                          <w:p w14:paraId="0F4AC15B" w14:textId="77777777" w:rsidR="008F7085" w:rsidRPr="009D33FC" w:rsidRDefault="008F7085" w:rsidP="00B4115B">
                            <w:pPr>
                              <w:jc w:val="center"/>
                              <w:rPr>
                                <w:rFonts w:ascii="Arial Narrow" w:hAnsi="Arial Narrow"/>
                                <w:b/>
                              </w:rPr>
                            </w:pPr>
                            <w:r w:rsidRPr="009D33FC">
                              <w:rPr>
                                <w:rFonts w:ascii="Arial Narrow" w:hAnsi="Arial Narrow"/>
                                <w:b/>
                              </w:rPr>
                              <w:t>Industrielle Gesundheitswirtschaft</w:t>
                            </w:r>
                          </w:p>
                        </w:tc>
                      </w:tr>
                      <w:tr w:rsidR="008F7085" w14:paraId="5EB02581" w14:textId="77777777" w:rsidTr="008F7085">
                        <w:tc>
                          <w:tcPr>
                            <w:tcW w:w="2122" w:type="dxa"/>
                            <w:vMerge/>
                          </w:tcPr>
                          <w:p w14:paraId="0BD93523" w14:textId="77777777" w:rsidR="008F7085" w:rsidRDefault="008F7085" w:rsidP="00B4115B">
                            <w:pPr>
                              <w:rPr>
                                <w:rFonts w:ascii="Arial Narrow" w:hAnsi="Arial Narrow"/>
                              </w:rPr>
                            </w:pPr>
                          </w:p>
                        </w:tc>
                        <w:tc>
                          <w:tcPr>
                            <w:tcW w:w="3402" w:type="dxa"/>
                            <w:shd w:val="pct20" w:color="auto" w:fill="auto"/>
                          </w:tcPr>
                          <w:p w14:paraId="26D839F0" w14:textId="77777777" w:rsidR="008F7085" w:rsidRPr="009D33FC" w:rsidRDefault="008F7085" w:rsidP="008F7085">
                            <w:pPr>
                              <w:jc w:val="center"/>
                              <w:rPr>
                                <w:rFonts w:ascii="Arial Narrow" w:hAnsi="Arial Narrow"/>
                                <w:b/>
                              </w:rPr>
                            </w:pPr>
                            <w:r w:rsidRPr="009D33FC">
                              <w:rPr>
                                <w:rFonts w:ascii="Arial Narrow" w:hAnsi="Arial Narrow"/>
                                <w:b/>
                              </w:rPr>
                              <w:t>MedTech-Industrie</w:t>
                            </w:r>
                          </w:p>
                        </w:tc>
                        <w:tc>
                          <w:tcPr>
                            <w:tcW w:w="3538" w:type="dxa"/>
                          </w:tcPr>
                          <w:p w14:paraId="503364D5" w14:textId="10174885" w:rsidR="008F7085" w:rsidRPr="009D33FC" w:rsidRDefault="008F7085" w:rsidP="008F7085">
                            <w:pPr>
                              <w:jc w:val="center"/>
                              <w:rPr>
                                <w:rFonts w:ascii="Arial Narrow" w:hAnsi="Arial Narrow"/>
                                <w:b/>
                              </w:rPr>
                            </w:pPr>
                            <w:r w:rsidRPr="009D33FC">
                              <w:rPr>
                                <w:rFonts w:ascii="Arial Narrow" w:hAnsi="Arial Narrow"/>
                                <w:b/>
                              </w:rPr>
                              <w:t>Pharma-Industrie</w:t>
                            </w:r>
                          </w:p>
                        </w:tc>
                      </w:tr>
                      <w:tr w:rsidR="00B4115B" w14:paraId="0A4865EF" w14:textId="77777777" w:rsidTr="008F7085">
                        <w:tc>
                          <w:tcPr>
                            <w:tcW w:w="2122" w:type="dxa"/>
                          </w:tcPr>
                          <w:p w14:paraId="269BB5CF" w14:textId="5A01CF68" w:rsidR="00B4115B" w:rsidRPr="009D33FC" w:rsidRDefault="00B4115B" w:rsidP="008F7085">
                            <w:pPr>
                              <w:jc w:val="center"/>
                              <w:rPr>
                                <w:rFonts w:ascii="Arial Narrow" w:hAnsi="Arial Narrow"/>
                                <w:b/>
                              </w:rPr>
                            </w:pPr>
                            <w:r w:rsidRPr="009D33FC">
                              <w:rPr>
                                <w:rFonts w:ascii="Arial Narrow" w:hAnsi="Arial Narrow"/>
                                <w:b/>
                              </w:rPr>
                              <w:t>Umsatz</w:t>
                            </w:r>
                          </w:p>
                        </w:tc>
                        <w:tc>
                          <w:tcPr>
                            <w:tcW w:w="3402" w:type="dxa"/>
                            <w:shd w:val="pct20" w:color="auto" w:fill="auto"/>
                          </w:tcPr>
                          <w:p w14:paraId="3E9A87E9" w14:textId="77777777" w:rsidR="00B4115B" w:rsidRDefault="00B4115B" w:rsidP="008F7085">
                            <w:pPr>
                              <w:jc w:val="center"/>
                              <w:rPr>
                                <w:rFonts w:ascii="Arial Narrow" w:hAnsi="Arial Narrow"/>
                              </w:rPr>
                            </w:pPr>
                            <w:r>
                              <w:rPr>
                                <w:rFonts w:ascii="Arial Narrow" w:hAnsi="Arial Narrow"/>
                              </w:rPr>
                              <w:t>33,3 Mrd. Euro</w:t>
                            </w:r>
                          </w:p>
                        </w:tc>
                        <w:tc>
                          <w:tcPr>
                            <w:tcW w:w="3538" w:type="dxa"/>
                          </w:tcPr>
                          <w:p w14:paraId="495CDAF3" w14:textId="77777777" w:rsidR="00B4115B" w:rsidRDefault="00B4115B" w:rsidP="008F7085">
                            <w:pPr>
                              <w:jc w:val="center"/>
                              <w:rPr>
                                <w:rFonts w:ascii="Arial Narrow" w:hAnsi="Arial Narrow"/>
                              </w:rPr>
                            </w:pPr>
                            <w:r>
                              <w:rPr>
                                <w:rFonts w:ascii="Arial Narrow" w:hAnsi="Arial Narrow"/>
                              </w:rPr>
                              <w:t>46,4 Mrd. Euro</w:t>
                            </w:r>
                          </w:p>
                        </w:tc>
                      </w:tr>
                      <w:tr w:rsidR="00B4115B" w14:paraId="380D177D" w14:textId="77777777" w:rsidTr="008F7085">
                        <w:tc>
                          <w:tcPr>
                            <w:tcW w:w="2122" w:type="dxa"/>
                          </w:tcPr>
                          <w:p w14:paraId="167B4A82" w14:textId="127EAA31" w:rsidR="00B4115B" w:rsidRPr="009D33FC" w:rsidRDefault="00B4115B" w:rsidP="008F7085">
                            <w:pPr>
                              <w:jc w:val="center"/>
                              <w:rPr>
                                <w:rFonts w:ascii="Arial Narrow" w:hAnsi="Arial Narrow"/>
                                <w:b/>
                              </w:rPr>
                            </w:pPr>
                            <w:r w:rsidRPr="009D33FC">
                              <w:rPr>
                                <w:rFonts w:ascii="Arial Narrow" w:hAnsi="Arial Narrow"/>
                                <w:b/>
                              </w:rPr>
                              <w:t>Beschäftigte</w:t>
                            </w:r>
                          </w:p>
                        </w:tc>
                        <w:tc>
                          <w:tcPr>
                            <w:tcW w:w="3402" w:type="dxa"/>
                            <w:shd w:val="pct20" w:color="auto" w:fill="auto"/>
                          </w:tcPr>
                          <w:p w14:paraId="12E6180C" w14:textId="2053D260" w:rsidR="00B4115B" w:rsidRDefault="00B4115B" w:rsidP="008F7085">
                            <w:pPr>
                              <w:jc w:val="center"/>
                              <w:rPr>
                                <w:rFonts w:ascii="Arial Narrow" w:hAnsi="Arial Narrow"/>
                              </w:rPr>
                            </w:pPr>
                            <w:r>
                              <w:rPr>
                                <w:rFonts w:ascii="Arial Narrow" w:hAnsi="Arial Narrow"/>
                              </w:rPr>
                              <w:t xml:space="preserve">ca. 150.000 </w:t>
                            </w:r>
                            <w:r w:rsidR="008F7085">
                              <w:rPr>
                                <w:rFonts w:ascii="Arial Narrow" w:hAnsi="Arial Narrow"/>
                              </w:rPr>
                              <w:br/>
                            </w:r>
                            <w:r>
                              <w:rPr>
                                <w:rFonts w:ascii="Arial Narrow" w:hAnsi="Arial Narrow"/>
                              </w:rPr>
                              <w:t>(235.000 inkl. Kleinstbetriebe)</w:t>
                            </w:r>
                          </w:p>
                        </w:tc>
                        <w:tc>
                          <w:tcPr>
                            <w:tcW w:w="3538" w:type="dxa"/>
                          </w:tcPr>
                          <w:p w14:paraId="20354E64" w14:textId="77777777" w:rsidR="00B4115B" w:rsidRDefault="00B4115B" w:rsidP="008F7085">
                            <w:pPr>
                              <w:jc w:val="center"/>
                              <w:rPr>
                                <w:rFonts w:ascii="Arial Narrow" w:hAnsi="Arial Narrow"/>
                              </w:rPr>
                            </w:pPr>
                            <w:r>
                              <w:rPr>
                                <w:rFonts w:ascii="Arial Narrow" w:hAnsi="Arial Narrow"/>
                              </w:rPr>
                              <w:t>ca. 141.000</w:t>
                            </w:r>
                          </w:p>
                        </w:tc>
                      </w:tr>
                      <w:tr w:rsidR="00B4115B" w14:paraId="2D5278F6" w14:textId="77777777" w:rsidTr="008F7085">
                        <w:tc>
                          <w:tcPr>
                            <w:tcW w:w="2122" w:type="dxa"/>
                          </w:tcPr>
                          <w:p w14:paraId="694AE2FC" w14:textId="77777777" w:rsidR="00B4115B" w:rsidRPr="009D33FC" w:rsidRDefault="00B4115B" w:rsidP="008F7085">
                            <w:pPr>
                              <w:jc w:val="center"/>
                              <w:rPr>
                                <w:rFonts w:ascii="Symbol" w:hAnsi="Symbol"/>
                                <w:b/>
                              </w:rPr>
                            </w:pPr>
                            <w:r w:rsidRPr="009D33FC">
                              <w:rPr>
                                <w:rFonts w:ascii="Arial Narrow" w:hAnsi="Arial Narrow"/>
                                <w:b/>
                              </w:rPr>
                              <w:t>Betriebe</w:t>
                            </w:r>
                          </w:p>
                        </w:tc>
                        <w:tc>
                          <w:tcPr>
                            <w:tcW w:w="3402" w:type="dxa"/>
                            <w:shd w:val="pct20" w:color="auto" w:fill="auto"/>
                          </w:tcPr>
                          <w:p w14:paraId="78F2CFCF" w14:textId="6845D4CE" w:rsidR="00B4115B" w:rsidRDefault="00B4115B" w:rsidP="008F7085">
                            <w:pPr>
                              <w:jc w:val="center"/>
                              <w:rPr>
                                <w:rFonts w:ascii="Arial Narrow" w:hAnsi="Arial Narrow"/>
                              </w:rPr>
                            </w:pPr>
                            <w:r>
                              <w:rPr>
                                <w:rFonts w:ascii="Arial Narrow" w:hAnsi="Arial Narrow"/>
                              </w:rPr>
                              <w:t>1.418 (11.300 inkl. Kleinstbetriebe)</w:t>
                            </w:r>
                          </w:p>
                        </w:tc>
                        <w:tc>
                          <w:tcPr>
                            <w:tcW w:w="3538" w:type="dxa"/>
                          </w:tcPr>
                          <w:p w14:paraId="161B387B" w14:textId="77777777" w:rsidR="00B4115B" w:rsidRDefault="00B4115B" w:rsidP="008F7085">
                            <w:pPr>
                              <w:jc w:val="center"/>
                              <w:rPr>
                                <w:rFonts w:ascii="Arial Narrow" w:hAnsi="Arial Narrow"/>
                              </w:rPr>
                            </w:pPr>
                            <w:r>
                              <w:rPr>
                                <w:rFonts w:ascii="Arial Narrow" w:hAnsi="Arial Narrow"/>
                              </w:rPr>
                              <w:t>ca. 510</w:t>
                            </w:r>
                          </w:p>
                        </w:tc>
                      </w:tr>
                      <w:tr w:rsidR="00B4115B" w14:paraId="17631345" w14:textId="77777777" w:rsidTr="008F7085">
                        <w:tc>
                          <w:tcPr>
                            <w:tcW w:w="2122" w:type="dxa"/>
                          </w:tcPr>
                          <w:p w14:paraId="4FF74AA3" w14:textId="77777777" w:rsidR="00B4115B" w:rsidRPr="009D33FC" w:rsidRDefault="00B4115B" w:rsidP="008F7085">
                            <w:pPr>
                              <w:jc w:val="center"/>
                              <w:rPr>
                                <w:rFonts w:ascii="Arial Narrow" w:hAnsi="Arial Narrow"/>
                                <w:b/>
                              </w:rPr>
                            </w:pPr>
                            <w:r w:rsidRPr="009D33FC">
                              <w:rPr>
                                <w:rFonts w:ascii="Arial Narrow" w:hAnsi="Arial Narrow"/>
                                <w:b/>
                              </w:rPr>
                              <w:t>Mittelstandsquote</w:t>
                            </w:r>
                          </w:p>
                        </w:tc>
                        <w:tc>
                          <w:tcPr>
                            <w:tcW w:w="3402" w:type="dxa"/>
                            <w:shd w:val="pct20" w:color="auto" w:fill="auto"/>
                          </w:tcPr>
                          <w:p w14:paraId="5CF71DD0" w14:textId="77777777" w:rsidR="00B4115B" w:rsidRDefault="00B4115B" w:rsidP="008F7085">
                            <w:pPr>
                              <w:jc w:val="center"/>
                              <w:rPr>
                                <w:rFonts w:ascii="Arial Narrow" w:hAnsi="Arial Narrow"/>
                              </w:rPr>
                            </w:pPr>
                            <w:r>
                              <w:rPr>
                                <w:rFonts w:ascii="Arial Narrow" w:hAnsi="Arial Narrow"/>
                              </w:rPr>
                              <w:t>&gt; 93 Prozent (&lt; 250 Mitarbeiter)</w:t>
                            </w:r>
                          </w:p>
                        </w:tc>
                        <w:tc>
                          <w:tcPr>
                            <w:tcW w:w="3538" w:type="dxa"/>
                          </w:tcPr>
                          <w:p w14:paraId="0F3FA329" w14:textId="77777777" w:rsidR="00B4115B" w:rsidRDefault="00B4115B" w:rsidP="008F7085">
                            <w:pPr>
                              <w:jc w:val="center"/>
                              <w:rPr>
                                <w:rFonts w:ascii="Arial Narrow" w:hAnsi="Arial Narrow"/>
                              </w:rPr>
                            </w:pPr>
                            <w:r>
                              <w:rPr>
                                <w:rFonts w:ascii="Arial Narrow" w:hAnsi="Arial Narrow"/>
                              </w:rPr>
                              <w:t>91 Prozent (&lt; 500 Mitarbeiter)</w:t>
                            </w:r>
                          </w:p>
                        </w:tc>
                      </w:tr>
                      <w:tr w:rsidR="00B4115B" w14:paraId="6F6ED371" w14:textId="77777777" w:rsidTr="008F7085">
                        <w:tc>
                          <w:tcPr>
                            <w:tcW w:w="2122" w:type="dxa"/>
                          </w:tcPr>
                          <w:p w14:paraId="4EE6FA75" w14:textId="77777777" w:rsidR="00B4115B" w:rsidRPr="009D33FC" w:rsidRDefault="00B4115B" w:rsidP="008F7085">
                            <w:pPr>
                              <w:jc w:val="center"/>
                              <w:rPr>
                                <w:rFonts w:ascii="Arial Narrow" w:hAnsi="Arial Narrow"/>
                                <w:b/>
                              </w:rPr>
                            </w:pPr>
                            <w:r w:rsidRPr="009D33FC">
                              <w:rPr>
                                <w:rFonts w:ascii="Arial Narrow" w:hAnsi="Arial Narrow"/>
                                <w:b/>
                              </w:rPr>
                              <w:t>F&amp;E-Quote</w:t>
                            </w:r>
                          </w:p>
                        </w:tc>
                        <w:tc>
                          <w:tcPr>
                            <w:tcW w:w="3402" w:type="dxa"/>
                            <w:shd w:val="pct20" w:color="auto" w:fill="auto"/>
                          </w:tcPr>
                          <w:p w14:paraId="0E2343C8" w14:textId="77777777" w:rsidR="00B4115B" w:rsidRDefault="00B4115B" w:rsidP="008F7085">
                            <w:pPr>
                              <w:jc w:val="center"/>
                              <w:rPr>
                                <w:rFonts w:ascii="Arial Narrow" w:hAnsi="Arial Narrow"/>
                              </w:rPr>
                            </w:pPr>
                            <w:r>
                              <w:rPr>
                                <w:rFonts w:ascii="Arial Narrow" w:hAnsi="Arial Narrow"/>
                              </w:rPr>
                              <w:t>ca. 9 Prozent</w:t>
                            </w:r>
                          </w:p>
                        </w:tc>
                        <w:tc>
                          <w:tcPr>
                            <w:tcW w:w="3538" w:type="dxa"/>
                          </w:tcPr>
                          <w:p w14:paraId="79EC0AFF" w14:textId="77777777" w:rsidR="00B4115B" w:rsidRDefault="00B4115B" w:rsidP="008F7085">
                            <w:pPr>
                              <w:jc w:val="center"/>
                              <w:rPr>
                                <w:rFonts w:ascii="Arial Narrow" w:hAnsi="Arial Narrow"/>
                              </w:rPr>
                            </w:pPr>
                            <w:r>
                              <w:rPr>
                                <w:rFonts w:ascii="Arial Narrow" w:hAnsi="Arial Narrow"/>
                              </w:rPr>
                              <w:t>ca. 14 Prozent</w:t>
                            </w:r>
                          </w:p>
                        </w:tc>
                      </w:tr>
                      <w:tr w:rsidR="00B4115B" w14:paraId="75C7FEBF" w14:textId="77777777" w:rsidTr="008F7085">
                        <w:tc>
                          <w:tcPr>
                            <w:tcW w:w="2122" w:type="dxa"/>
                          </w:tcPr>
                          <w:p w14:paraId="09B28B2B" w14:textId="77777777" w:rsidR="00B4115B" w:rsidRPr="009D33FC" w:rsidRDefault="00B4115B" w:rsidP="008F7085">
                            <w:pPr>
                              <w:jc w:val="center"/>
                              <w:rPr>
                                <w:rFonts w:ascii="Arial Narrow" w:hAnsi="Arial Narrow"/>
                                <w:b/>
                              </w:rPr>
                            </w:pPr>
                            <w:r>
                              <w:rPr>
                                <w:rFonts w:ascii="Arial Narrow" w:hAnsi="Arial Narrow"/>
                                <w:b/>
                              </w:rPr>
                              <w:t>Exportquote</w:t>
                            </w:r>
                          </w:p>
                        </w:tc>
                        <w:tc>
                          <w:tcPr>
                            <w:tcW w:w="3402" w:type="dxa"/>
                            <w:shd w:val="pct20" w:color="auto" w:fill="auto"/>
                          </w:tcPr>
                          <w:p w14:paraId="2191A081" w14:textId="77777777" w:rsidR="00B4115B" w:rsidRDefault="00B4115B" w:rsidP="008F7085">
                            <w:pPr>
                              <w:jc w:val="center"/>
                              <w:rPr>
                                <w:rFonts w:ascii="Arial Narrow" w:hAnsi="Arial Narrow"/>
                              </w:rPr>
                            </w:pPr>
                            <w:r>
                              <w:rPr>
                                <w:rFonts w:ascii="Arial Narrow" w:hAnsi="Arial Narrow"/>
                              </w:rPr>
                              <w:t>ca. 66 Prozent</w:t>
                            </w:r>
                          </w:p>
                        </w:tc>
                        <w:tc>
                          <w:tcPr>
                            <w:tcW w:w="3538" w:type="dxa"/>
                          </w:tcPr>
                          <w:p w14:paraId="6AC72AF6" w14:textId="77777777" w:rsidR="00B4115B" w:rsidRDefault="00B4115B" w:rsidP="008F7085">
                            <w:pPr>
                              <w:jc w:val="center"/>
                              <w:rPr>
                                <w:rFonts w:ascii="Arial Narrow" w:hAnsi="Arial Narrow"/>
                              </w:rPr>
                            </w:pPr>
                            <w:r>
                              <w:rPr>
                                <w:rFonts w:ascii="Arial Narrow" w:hAnsi="Arial Narrow"/>
                              </w:rPr>
                              <w:t>ca. 53 Prozent</w:t>
                            </w:r>
                          </w:p>
                        </w:tc>
                      </w:tr>
                    </w:tbl>
                    <w:p w14:paraId="268EE902" w14:textId="77777777" w:rsidR="00B4115B" w:rsidRDefault="00B4115B" w:rsidP="00B4115B">
                      <w:pPr>
                        <w:rPr>
                          <w:rFonts w:ascii="Arial Narrow" w:hAnsi="Arial Narrow"/>
                        </w:rPr>
                      </w:pPr>
                    </w:p>
                    <w:p w14:paraId="19F8DD3B" w14:textId="7B4BD09C" w:rsidR="00B4115B" w:rsidRPr="00B4115B" w:rsidRDefault="00B4115B" w:rsidP="00B4115B">
                      <w:pPr>
                        <w:rPr>
                          <w:rFonts w:ascii="Arial Narrow" w:hAnsi="Arial Narrow"/>
                          <w:b/>
                        </w:rPr>
                      </w:pPr>
                      <w:r w:rsidRPr="00B4115B">
                        <w:rPr>
                          <w:rFonts w:ascii="Arial Narrow" w:hAnsi="Arial Narrow"/>
                          <w:b/>
                        </w:rPr>
                        <w:t>Medizinprodukte sind keine Arzneimittel</w:t>
                      </w:r>
                    </w:p>
                    <w:p w14:paraId="4ABA65AC" w14:textId="77777777" w:rsidR="008F7085" w:rsidRDefault="00B4115B" w:rsidP="00B4115B">
                      <w:pPr>
                        <w:rPr>
                          <w:rFonts w:ascii="Arial Narrow" w:hAnsi="Arial Narrow"/>
                        </w:rPr>
                      </w:pPr>
                      <w:r w:rsidRPr="00B4115B">
                        <w:rPr>
                          <w:rFonts w:ascii="Arial Narrow" w:hAnsi="Arial Narrow"/>
                        </w:rPr>
                        <w:t>Medizinprodukte unterscheiden sich grundsätzlich</w:t>
                      </w:r>
                      <w:r w:rsidRPr="00B4115B">
                        <w:rPr>
                          <w:rFonts w:ascii="Arial Narrow" w:hAnsi="Arial Narrow"/>
                        </w:rPr>
                        <w:t xml:space="preserve"> </w:t>
                      </w:r>
                      <w:r w:rsidRPr="00B4115B">
                        <w:rPr>
                          <w:rFonts w:ascii="Arial Narrow" w:hAnsi="Arial Narrow"/>
                        </w:rPr>
                        <w:t xml:space="preserve">von </w:t>
                      </w:r>
                      <w:r>
                        <w:rPr>
                          <w:rFonts w:ascii="Arial Narrow" w:hAnsi="Arial Narrow"/>
                        </w:rPr>
                        <w:br/>
                      </w:r>
                      <w:r w:rsidRPr="00B4115B">
                        <w:rPr>
                          <w:rFonts w:ascii="Arial Narrow" w:hAnsi="Arial Narrow"/>
                        </w:rPr>
                        <w:t>Arzneimitteln, insbesondere</w:t>
                      </w:r>
                      <w:r w:rsidRPr="00B4115B">
                        <w:rPr>
                          <w:rFonts w:ascii="Arial Narrow" w:hAnsi="Arial Narrow"/>
                        </w:rPr>
                        <w:t xml:space="preserve"> </w:t>
                      </w:r>
                      <w:r w:rsidRPr="00B4115B">
                        <w:rPr>
                          <w:rFonts w:ascii="Arial Narrow" w:hAnsi="Arial Narrow"/>
                        </w:rPr>
                        <w:t xml:space="preserve">hinsichtlich ihrer Wirkung, </w:t>
                      </w:r>
                      <w:r>
                        <w:rPr>
                          <w:rFonts w:ascii="Arial Narrow" w:hAnsi="Arial Narrow"/>
                        </w:rPr>
                        <w:br/>
                      </w:r>
                      <w:r w:rsidRPr="00B4115B">
                        <w:rPr>
                          <w:rFonts w:ascii="Arial Narrow" w:hAnsi="Arial Narrow"/>
                        </w:rPr>
                        <w:t>der gesetzlichen</w:t>
                      </w:r>
                      <w:r w:rsidRPr="00B4115B">
                        <w:rPr>
                          <w:rFonts w:ascii="Arial Narrow" w:hAnsi="Arial Narrow"/>
                        </w:rPr>
                        <w:t xml:space="preserve"> </w:t>
                      </w:r>
                      <w:r w:rsidRPr="00B4115B">
                        <w:rPr>
                          <w:rFonts w:ascii="Arial Narrow" w:hAnsi="Arial Narrow"/>
                        </w:rPr>
                        <w:t>Anforderungen für die Zulassung, der</w:t>
                      </w:r>
                      <w:r w:rsidRPr="00B4115B">
                        <w:rPr>
                          <w:rFonts w:ascii="Arial Narrow" w:hAnsi="Arial Narrow"/>
                        </w:rPr>
                        <w:t xml:space="preserve"> </w:t>
                      </w:r>
                      <w:r>
                        <w:rPr>
                          <w:rFonts w:ascii="Arial Narrow" w:hAnsi="Arial Narrow"/>
                        </w:rPr>
                        <w:br/>
                      </w:r>
                      <w:r w:rsidRPr="00B4115B">
                        <w:rPr>
                          <w:rFonts w:ascii="Arial Narrow" w:hAnsi="Arial Narrow"/>
                        </w:rPr>
                        <w:t>Sicherheit, der Innovationszyklen und der</w:t>
                      </w:r>
                      <w:r w:rsidRPr="00B4115B">
                        <w:rPr>
                          <w:rFonts w:ascii="Arial Narrow" w:hAnsi="Arial Narrow"/>
                        </w:rPr>
                        <w:t xml:space="preserve"> </w:t>
                      </w:r>
                      <w:r>
                        <w:rPr>
                          <w:rFonts w:ascii="Arial Narrow" w:hAnsi="Arial Narrow"/>
                        </w:rPr>
                        <w:br/>
                      </w:r>
                      <w:r w:rsidRPr="00B4115B">
                        <w:rPr>
                          <w:rFonts w:ascii="Arial Narrow" w:hAnsi="Arial Narrow"/>
                        </w:rPr>
                        <w:t>Marktüberwachung.</w:t>
                      </w:r>
                      <w:r w:rsidRPr="00B4115B">
                        <w:rPr>
                          <w:rFonts w:ascii="Arial Narrow" w:hAnsi="Arial Narrow"/>
                        </w:rPr>
                        <w:t xml:space="preserve"> </w:t>
                      </w:r>
                      <w:r w:rsidRPr="00B4115B">
                        <w:rPr>
                          <w:rFonts w:ascii="Arial Narrow" w:hAnsi="Arial Narrow"/>
                        </w:rPr>
                        <w:t xml:space="preserve">Als Medizinprodukt werden unter </w:t>
                      </w:r>
                      <w:r>
                        <w:rPr>
                          <w:rFonts w:ascii="Arial Narrow" w:hAnsi="Arial Narrow"/>
                        </w:rPr>
                        <w:br/>
                      </w:r>
                      <w:r w:rsidRPr="00B4115B">
                        <w:rPr>
                          <w:rFonts w:ascii="Arial Narrow" w:hAnsi="Arial Narrow"/>
                        </w:rPr>
                        <w:t>anderem</w:t>
                      </w:r>
                      <w:r w:rsidRPr="00B4115B">
                        <w:rPr>
                          <w:rFonts w:ascii="Arial Narrow" w:hAnsi="Arial Narrow"/>
                        </w:rPr>
                        <w:t xml:space="preserve"> </w:t>
                      </w:r>
                      <w:r w:rsidRPr="00B4115B">
                        <w:rPr>
                          <w:rFonts w:ascii="Arial Narrow" w:hAnsi="Arial Narrow"/>
                        </w:rPr>
                        <w:t>Apparate, Gegenstände, Stoffe und auch</w:t>
                      </w:r>
                      <w:r w:rsidRPr="00B4115B">
                        <w:rPr>
                          <w:rFonts w:ascii="Arial Narrow" w:hAnsi="Arial Narrow"/>
                        </w:rPr>
                        <w:t xml:space="preserve"> </w:t>
                      </w:r>
                      <w:r>
                        <w:rPr>
                          <w:rFonts w:ascii="Arial Narrow" w:hAnsi="Arial Narrow"/>
                        </w:rPr>
                        <w:br/>
                      </w:r>
                      <w:r w:rsidRPr="00B4115B">
                        <w:rPr>
                          <w:rFonts w:ascii="Arial Narrow" w:hAnsi="Arial Narrow"/>
                        </w:rPr>
                        <w:t>Software bezeichnet, die zu therapeutischen</w:t>
                      </w:r>
                      <w:r w:rsidRPr="00B4115B">
                        <w:rPr>
                          <w:rFonts w:ascii="Arial Narrow" w:hAnsi="Arial Narrow"/>
                        </w:rPr>
                        <w:t xml:space="preserve"> </w:t>
                      </w:r>
                      <w:r w:rsidRPr="00B4115B">
                        <w:rPr>
                          <w:rFonts w:ascii="Arial Narrow" w:hAnsi="Arial Narrow"/>
                        </w:rPr>
                        <w:t xml:space="preserve">oder </w:t>
                      </w:r>
                      <w:r>
                        <w:rPr>
                          <w:rFonts w:ascii="Arial Narrow" w:hAnsi="Arial Narrow"/>
                        </w:rPr>
                        <w:br/>
                      </w:r>
                      <w:r w:rsidRPr="00B4115B">
                        <w:rPr>
                          <w:rFonts w:ascii="Arial Narrow" w:hAnsi="Arial Narrow"/>
                        </w:rPr>
                        <w:t>diagnostischen Zwecken für</w:t>
                      </w:r>
                      <w:r w:rsidRPr="00B4115B">
                        <w:rPr>
                          <w:rFonts w:ascii="Arial Narrow" w:hAnsi="Arial Narrow"/>
                        </w:rPr>
                        <w:t xml:space="preserve"> </w:t>
                      </w:r>
                      <w:r w:rsidRPr="00B4115B">
                        <w:rPr>
                          <w:rFonts w:ascii="Arial Narrow" w:hAnsi="Arial Narrow"/>
                        </w:rPr>
                        <w:t xml:space="preserve">Menschen verwendet </w:t>
                      </w:r>
                      <w:r>
                        <w:rPr>
                          <w:rFonts w:ascii="Arial Narrow" w:hAnsi="Arial Narrow"/>
                        </w:rPr>
                        <w:br/>
                      </w:r>
                      <w:r w:rsidRPr="00B4115B">
                        <w:rPr>
                          <w:rFonts w:ascii="Arial Narrow" w:hAnsi="Arial Narrow"/>
                        </w:rPr>
                        <w:t>werden, wobei die</w:t>
                      </w:r>
                      <w:r w:rsidRPr="00B4115B">
                        <w:rPr>
                          <w:rFonts w:ascii="Arial Narrow" w:hAnsi="Arial Narrow"/>
                        </w:rPr>
                        <w:t xml:space="preserve"> </w:t>
                      </w:r>
                      <w:r w:rsidRPr="00B4115B">
                        <w:rPr>
                          <w:rFonts w:ascii="Arial Narrow" w:hAnsi="Arial Narrow"/>
                        </w:rPr>
                        <w:t xml:space="preserve">bestimmungsgemäße Hauptwirkung </w:t>
                      </w:r>
                      <w:r>
                        <w:rPr>
                          <w:rFonts w:ascii="Arial Narrow" w:hAnsi="Arial Narrow"/>
                        </w:rPr>
                        <w:br/>
                      </w:r>
                      <w:r w:rsidRPr="00B4115B">
                        <w:rPr>
                          <w:rFonts w:ascii="Arial Narrow" w:hAnsi="Arial Narrow"/>
                        </w:rPr>
                        <w:t>im</w:t>
                      </w:r>
                      <w:r w:rsidRPr="00B4115B">
                        <w:rPr>
                          <w:rFonts w:ascii="Arial Narrow" w:hAnsi="Arial Narrow"/>
                        </w:rPr>
                        <w:t xml:space="preserve"> </w:t>
                      </w:r>
                      <w:r w:rsidRPr="00B4115B">
                        <w:rPr>
                          <w:rFonts w:ascii="Arial Narrow" w:hAnsi="Arial Narrow"/>
                        </w:rPr>
                        <w:t>Unterschied zu Arzneimitteln primär nicht</w:t>
                      </w:r>
                      <w:r w:rsidRPr="00B4115B">
                        <w:rPr>
                          <w:rFonts w:ascii="Arial Narrow" w:hAnsi="Arial Narrow"/>
                        </w:rPr>
                        <w:t xml:space="preserve"> </w:t>
                      </w:r>
                      <w:r>
                        <w:rPr>
                          <w:rFonts w:ascii="Arial Narrow" w:hAnsi="Arial Narrow"/>
                        </w:rPr>
                        <w:br/>
                      </w:r>
                      <w:r w:rsidRPr="00B4115B">
                        <w:rPr>
                          <w:rFonts w:ascii="Arial Narrow" w:hAnsi="Arial Narrow"/>
                        </w:rPr>
                        <w:t>pharmakologisch, metabolisch oder immunologisch,</w:t>
                      </w:r>
                      <w:r w:rsidRPr="00B4115B">
                        <w:rPr>
                          <w:rFonts w:ascii="Arial Narrow" w:hAnsi="Arial Narrow"/>
                        </w:rPr>
                        <w:t xml:space="preserve"> </w:t>
                      </w:r>
                      <w:r>
                        <w:rPr>
                          <w:rFonts w:ascii="Arial Narrow" w:hAnsi="Arial Narrow"/>
                        </w:rPr>
                        <w:br/>
                      </w:r>
                      <w:r w:rsidRPr="00B4115B">
                        <w:rPr>
                          <w:rFonts w:ascii="Arial Narrow" w:hAnsi="Arial Narrow"/>
                        </w:rPr>
                        <w:t>sondern meist physikalisch oder</w:t>
                      </w:r>
                      <w:r w:rsidRPr="00B4115B">
                        <w:rPr>
                          <w:rFonts w:ascii="Arial Narrow" w:hAnsi="Arial Narrow"/>
                        </w:rPr>
                        <w:t xml:space="preserve"> </w:t>
                      </w:r>
                      <w:r w:rsidRPr="00B4115B">
                        <w:rPr>
                          <w:rFonts w:ascii="Arial Narrow" w:hAnsi="Arial Narrow"/>
                        </w:rPr>
                        <w:t>physikochemisch erfolgt.</w:t>
                      </w:r>
                    </w:p>
                    <w:p w14:paraId="7912F287" w14:textId="736FABC0" w:rsidR="000F3122" w:rsidRPr="00B4115B" w:rsidRDefault="00B4115B" w:rsidP="00B4115B">
                      <w:pPr>
                        <w:rPr>
                          <w:rFonts w:ascii="Arial Narrow" w:hAnsi="Arial Narrow"/>
                        </w:rPr>
                      </w:pPr>
                      <w:r w:rsidRPr="00B4115B">
                        <w:rPr>
                          <w:rFonts w:ascii="Arial Narrow" w:hAnsi="Arial Narrow"/>
                        </w:rPr>
                        <w:t>In Deutschland befinden sich über 4</w:t>
                      </w:r>
                      <w:r w:rsidRPr="00B4115B">
                        <w:rPr>
                          <w:rFonts w:ascii="Arial Narrow" w:hAnsi="Arial Narrow"/>
                        </w:rPr>
                        <w:t>0</w:t>
                      </w:r>
                      <w:r w:rsidRPr="00B4115B">
                        <w:rPr>
                          <w:rFonts w:ascii="Arial Narrow" w:hAnsi="Arial Narrow"/>
                        </w:rPr>
                        <w:t>0.000</w:t>
                      </w:r>
                      <w:r>
                        <w:rPr>
                          <w:rFonts w:ascii="Arial Narrow" w:hAnsi="Arial Narrow"/>
                        </w:rPr>
                        <w:t xml:space="preserve"> </w:t>
                      </w:r>
                      <w:r w:rsidRPr="00B4115B">
                        <w:rPr>
                          <w:rFonts w:ascii="Arial Narrow" w:hAnsi="Arial Narrow"/>
                        </w:rPr>
                        <w:t>Medizinprodukte auf dem Markt.</w:t>
                      </w:r>
                    </w:p>
                  </w:txbxContent>
                </v:textbox>
                <w10:wrap type="square"/>
              </v:shape>
            </w:pict>
          </mc:Fallback>
        </mc:AlternateContent>
      </w:r>
      <w:r w:rsidR="007B1232" w:rsidRPr="007B1232">
        <w:rPr>
          <w:rFonts w:ascii="Arial Narrow" w:hAnsi="Arial Narrow"/>
        </w:rPr>
        <w:t>Eine zukunftsorientierte Datennutzung und Datenanalyse ermöglichen das schnelle Zusammenführen und Auswerten von heterogenen Gesundheitsdaten. Sie steigern die Lebensqualität, verbessern die Versorgung dauerhaft und können sogar Leben retten.  Eine digitalisierte Versorgungsstruktur und innovative Versorgungslandschaft brauchen eine einheitliche Regelung für einen transparenten Zugang von Versorgungs- und Forschungsdaten, nicht nur für forschende Institute, sondern auch für die forschende Gesundheitswirtschaft</w:t>
      </w:r>
      <w:r w:rsidR="00FF3B5E">
        <w:rPr>
          <w:rFonts w:ascii="Arial Narrow" w:hAnsi="Arial Narrow"/>
        </w:rPr>
        <w:t>, wobei hier differenziert werden muss zwischen der forschenden Pharmaindustrie und der Medizintechnikindustrie.</w:t>
      </w:r>
      <w:r w:rsidR="00F524E1">
        <w:rPr>
          <w:rFonts w:ascii="Arial Narrow" w:hAnsi="Arial Narrow"/>
        </w:rPr>
        <w:t xml:space="preserve"> </w:t>
      </w:r>
    </w:p>
    <w:p w14:paraId="76B7E0B4" w14:textId="55C5E59C" w:rsidR="007B1232" w:rsidRPr="007B1232" w:rsidRDefault="007B1232" w:rsidP="007B1232">
      <w:pPr>
        <w:rPr>
          <w:rFonts w:ascii="Arial Narrow" w:hAnsi="Arial Narrow"/>
        </w:rPr>
      </w:pPr>
      <w:r w:rsidRPr="007B1232">
        <w:rPr>
          <w:rFonts w:ascii="Arial Narrow" w:hAnsi="Arial Narrow"/>
        </w:rPr>
        <w:t>Private Forschung ist die treibende Kraft bei der Übersetzung von Ergebnissen der Grundlagenforschung in nutzenstiftende Diagnostik und Gesundheitsanwendungen sowie Therapien für die Patienten.</w:t>
      </w:r>
    </w:p>
    <w:p w14:paraId="7E4F8EAF" w14:textId="6F49E0C1" w:rsidR="007B1232" w:rsidRPr="007B1232" w:rsidRDefault="007B1232" w:rsidP="007B1232">
      <w:pPr>
        <w:rPr>
          <w:rFonts w:ascii="Arial Narrow" w:hAnsi="Arial Narrow"/>
        </w:rPr>
      </w:pPr>
      <w:r w:rsidRPr="007B1232">
        <w:rPr>
          <w:rFonts w:ascii="Arial Narrow" w:hAnsi="Arial Narrow"/>
        </w:rPr>
        <w:t xml:space="preserve">Datenbasierte Anwendungen haben, z.B. durch den Einsatz von Big-Data-Analysen und KI-Methoden, ein hohes Potential Diagnostik und Therapie erheblich zu verbessern. Bei der Bekämpfung von chronischen Krankheiten wie Diabetes, Herzinsuffizienz, Krebs oder seltenen Erkrankungen können durch den Zugang von privater Forschung auf Gesundheitsdaten individualisierte Behandlungen ermöglicht werden. Das Potential für die Verbesserung der Versorgung wurde </w:t>
      </w:r>
      <w:r w:rsidR="00F524E1">
        <w:rPr>
          <w:rFonts w:ascii="Arial Narrow" w:hAnsi="Arial Narrow"/>
        </w:rPr>
        <w:t>auch</w:t>
      </w:r>
      <w:r w:rsidRPr="007B1232">
        <w:rPr>
          <w:rFonts w:ascii="Arial Narrow" w:hAnsi="Arial Narrow"/>
        </w:rPr>
        <w:t xml:space="preserve"> vom Sachverständigenrat Gesundheit noch einmal bekräftigt</w:t>
      </w:r>
      <w:r w:rsidR="00F524E1">
        <w:rPr>
          <w:rFonts w:ascii="Arial Narrow" w:hAnsi="Arial Narrow"/>
        </w:rPr>
        <w:t>.</w:t>
      </w:r>
      <w:r w:rsidRPr="007B1232">
        <w:rPr>
          <w:rFonts w:ascii="Arial Narrow" w:hAnsi="Arial Narrow"/>
        </w:rPr>
        <w:t xml:space="preserve"> </w:t>
      </w:r>
    </w:p>
    <w:p w14:paraId="2488FE7D" w14:textId="004036AA" w:rsidR="007B1232" w:rsidRPr="00F524E1" w:rsidRDefault="007B1232" w:rsidP="007B1232">
      <w:pPr>
        <w:rPr>
          <w:rFonts w:ascii="Arial Narrow" w:hAnsi="Arial Narrow"/>
          <w:b/>
        </w:rPr>
      </w:pPr>
      <w:r w:rsidRPr="00F524E1">
        <w:rPr>
          <w:rFonts w:ascii="Arial Narrow" w:hAnsi="Arial Narrow"/>
          <w:b/>
        </w:rPr>
        <w:lastRenderedPageBreak/>
        <w:t xml:space="preserve">Datenfreigabe </w:t>
      </w:r>
    </w:p>
    <w:p w14:paraId="3697C718" w14:textId="60385DC1" w:rsidR="007B1232" w:rsidRPr="007B1232" w:rsidRDefault="00F524E1" w:rsidP="007B1232">
      <w:pPr>
        <w:rPr>
          <w:rFonts w:ascii="Arial Narrow" w:hAnsi="Arial Narrow"/>
        </w:rPr>
      </w:pPr>
      <w:r>
        <w:rPr>
          <w:rFonts w:ascii="Arial Narrow" w:hAnsi="Arial Narrow"/>
        </w:rPr>
        <w:t xml:space="preserve">Die Medizintechnik im Deutschen Industrieverband SPECTARIS </w:t>
      </w:r>
      <w:r w:rsidR="007B1232" w:rsidRPr="007B1232">
        <w:rPr>
          <w:rFonts w:ascii="Arial Narrow" w:hAnsi="Arial Narrow"/>
        </w:rPr>
        <w:t>begrüß</w:t>
      </w:r>
      <w:r>
        <w:rPr>
          <w:rFonts w:ascii="Arial Narrow" w:hAnsi="Arial Narrow"/>
        </w:rPr>
        <w:t>t</w:t>
      </w:r>
      <w:r w:rsidR="007B1232" w:rsidRPr="007B1232">
        <w:rPr>
          <w:rFonts w:ascii="Arial Narrow" w:hAnsi="Arial Narrow"/>
        </w:rPr>
        <w:t xml:space="preserve">, </w:t>
      </w:r>
      <w:r>
        <w:rPr>
          <w:rFonts w:ascii="Arial Narrow" w:hAnsi="Arial Narrow"/>
        </w:rPr>
        <w:t xml:space="preserve">mit dem </w:t>
      </w:r>
      <w:r w:rsidR="007B1232" w:rsidRPr="007B1232">
        <w:rPr>
          <w:rFonts w:ascii="Arial Narrow" w:hAnsi="Arial Narrow"/>
        </w:rPr>
        <w:t xml:space="preserve">Patientendaten-Schutzgesetz (PDSG) erstmalig die Rechtsgrundlage für eine freiwillige Datenfreigabe (u.a. Datenspende) über die elektronische Patientenakte geschaffen wurde. </w:t>
      </w:r>
    </w:p>
    <w:p w14:paraId="3C6CE838" w14:textId="77777777" w:rsidR="0077578C" w:rsidRPr="0077578C" w:rsidRDefault="0077578C" w:rsidP="0077578C">
      <w:pPr>
        <w:rPr>
          <w:rFonts w:ascii="Arial Narrow" w:hAnsi="Arial Narrow"/>
        </w:rPr>
      </w:pPr>
      <w:r w:rsidRPr="0077578C">
        <w:rPr>
          <w:rFonts w:ascii="Arial Narrow" w:hAnsi="Arial Narrow"/>
        </w:rPr>
        <w:t>Die Ausgestaltung der Regelung ist allerdings sehr eng ausgelegt und bietet der Versorgungsforschung und Forschung keine echten Mehrwerte. Wünschenswert wäre, dass Patienten – über Daten ohne Personenbezug hinaus – ihre klinischen und strukturierten</w:t>
      </w:r>
      <w:r>
        <w:rPr>
          <w:rFonts w:ascii="Arial Narrow" w:hAnsi="Arial Narrow"/>
        </w:rPr>
        <w:t xml:space="preserve"> </w:t>
      </w:r>
      <w:r w:rsidRPr="0077578C">
        <w:rPr>
          <w:rFonts w:ascii="Arial Narrow" w:hAnsi="Arial Narrow"/>
        </w:rPr>
        <w:t xml:space="preserve">Longitudinaldaten besonders bei chronischen oder seltenen Erkrankungen freigeben könnten. Umfragen zeigen, dass die überwiegende Mehrheit der Patienten bereit wäre, zu der Erforschung und Heilung ihrer Erkrankungen aktiv beizutragen </w:t>
      </w:r>
    </w:p>
    <w:p w14:paraId="0A988170" w14:textId="77777777" w:rsidR="0077578C" w:rsidRPr="0077578C" w:rsidRDefault="0077578C" w:rsidP="0077578C">
      <w:pPr>
        <w:rPr>
          <w:rFonts w:ascii="Arial Narrow" w:hAnsi="Arial Narrow"/>
        </w:rPr>
      </w:pPr>
      <w:r w:rsidRPr="0077578C">
        <w:rPr>
          <w:rFonts w:ascii="Arial Narrow" w:hAnsi="Arial Narrow"/>
        </w:rPr>
        <w:t>Daten ohne Personenbezug, also nach DSGVO anonyme Daten, sind für Forschungszwecke nicht ausreichend. In Anbetracht dessen, dass die überwiegende Mehrheit der Daten nach §341 einen direkten Personenbezug aufweisen und nach DSGVO sogar besonders personenbezogene Daten sind, stellt sich die Frage, welche Daten überhaupt freigegeben werden können. Handelt es sich um personenbezogene Daten im datenschutzrechtlichen Sinne, können Betroffene/Patienten ihre Daten mit Personenbezug auf Basis einer datenschutzrechtlichen Einwilligung je nach Sensitivität gemäß Artikel 6 Abs. 1 lit. 1 bzw. Art. 9 Abs. 2 lit. a DSGVO für nahezu beliebige Zwecke zur Verfügung stellen.</w:t>
      </w:r>
    </w:p>
    <w:p w14:paraId="068056A4" w14:textId="5624D4FB" w:rsidR="0077578C" w:rsidRPr="0077578C" w:rsidRDefault="0077578C" w:rsidP="0077578C">
      <w:pPr>
        <w:rPr>
          <w:rFonts w:ascii="Arial Narrow" w:hAnsi="Arial Narrow"/>
        </w:rPr>
      </w:pPr>
      <w:r w:rsidRPr="0077578C">
        <w:rPr>
          <w:rFonts w:ascii="Arial Narrow" w:hAnsi="Arial Narrow"/>
        </w:rPr>
        <w:t>Die Eingrenzung der Datenspende nach §363 Absatz 2 auf Daten ohne Personenbezug ist eine unnötig restriktive Vorgabe, die weit über die Anforderungen der DSGVO hinausgeht. Obgleich dies datenschutzrechtlich nicht geboten ist, wird als Konsequenz der Industrieforschung der Zugang zu Daten ohne Personenbezug aus der Datenfreigabe verwehrt bzw. diese erheblich erschwert.</w:t>
      </w:r>
    </w:p>
    <w:p w14:paraId="048883DC" w14:textId="77777777" w:rsidR="0077578C" w:rsidRPr="0077578C" w:rsidRDefault="0077578C" w:rsidP="0077578C">
      <w:pPr>
        <w:rPr>
          <w:rFonts w:ascii="Arial Narrow" w:hAnsi="Arial Narrow"/>
        </w:rPr>
      </w:pPr>
    </w:p>
    <w:p w14:paraId="04373DD5" w14:textId="77777777" w:rsidR="0077578C" w:rsidRPr="0077578C" w:rsidRDefault="0077578C" w:rsidP="0077578C">
      <w:pPr>
        <w:rPr>
          <w:rFonts w:ascii="Arial Narrow" w:hAnsi="Arial Narrow"/>
          <w:b/>
        </w:rPr>
      </w:pPr>
      <w:r w:rsidRPr="0077578C">
        <w:rPr>
          <w:rFonts w:ascii="Arial Narrow" w:hAnsi="Arial Narrow"/>
          <w:b/>
        </w:rPr>
        <w:t xml:space="preserve">Zugang zum Forschungsdatenzentrum  </w:t>
      </w:r>
    </w:p>
    <w:p w14:paraId="564BBC9D" w14:textId="77777777" w:rsidR="0077578C" w:rsidRPr="0077578C" w:rsidRDefault="0077578C" w:rsidP="0077578C">
      <w:pPr>
        <w:rPr>
          <w:rFonts w:ascii="Arial Narrow" w:hAnsi="Arial Narrow"/>
        </w:rPr>
      </w:pPr>
      <w:r w:rsidRPr="0077578C">
        <w:rPr>
          <w:rFonts w:ascii="Arial Narrow" w:hAnsi="Arial Narrow"/>
        </w:rPr>
        <w:t>Der Ausschluss der forschenden Industrieunternehmen vom Forschungsdatenzentrum ist, in Anbetracht dessen, dass circa 75% der Forschungsvorhaben entweder durch die Industrie getragen oder finanziert werden, nicht nachvollziehbar. Da Dritte und damit die Industrie nach § 303 e SGB V nicht antragsberechtigt sind, ist eine unmittelbare Nutzung der von der „Datenfreigabe“ umfassten und zur Verfügung gestellten Daten für die Industrie kategorisch ausgeschlossen.</w:t>
      </w:r>
    </w:p>
    <w:p w14:paraId="50041B39" w14:textId="171B6AE4" w:rsidR="0077578C" w:rsidRPr="0077578C" w:rsidRDefault="0077578C" w:rsidP="0077578C">
      <w:pPr>
        <w:rPr>
          <w:rFonts w:ascii="Arial Narrow" w:hAnsi="Arial Narrow"/>
        </w:rPr>
      </w:pPr>
      <w:r w:rsidRPr="0077578C">
        <w:rPr>
          <w:rFonts w:ascii="Arial Narrow" w:hAnsi="Arial Narrow"/>
        </w:rPr>
        <w:t xml:space="preserve">Das Gutachten der Datenethikkommission der Bundesregierung von November 2019 verdeutlicht die gesamtwirtschaftliche Bedeutung eines angemessenen, sachgerechten und praxisorientierten Ansatzes eines geregelten Datenzugangs für Forschungszwecke für die industrielle Gesundheitswirtschaft. Die </w:t>
      </w:r>
      <w:r>
        <w:rPr>
          <w:rFonts w:ascii="Arial Narrow" w:hAnsi="Arial Narrow"/>
        </w:rPr>
        <w:t>Medizintechnik im Deutschen Industrieverband SPECTARIS</w:t>
      </w:r>
      <w:r w:rsidRPr="0077578C">
        <w:rPr>
          <w:rFonts w:ascii="Arial Narrow" w:hAnsi="Arial Narrow"/>
        </w:rPr>
        <w:t xml:space="preserve"> forder</w:t>
      </w:r>
      <w:r>
        <w:rPr>
          <w:rFonts w:ascii="Arial Narrow" w:hAnsi="Arial Narrow"/>
        </w:rPr>
        <w:t>t</w:t>
      </w:r>
      <w:r w:rsidRPr="0077578C">
        <w:rPr>
          <w:rFonts w:ascii="Arial Narrow" w:hAnsi="Arial Narrow"/>
        </w:rPr>
        <w:t xml:space="preserve"> in diesem Zuge die Einführung eines eigenständigen Antragsrechts der Industrie gegenüber dem Forschungsdatenzentrum sowie die Ergänzung als berechtigte Institution nach Absatz 1. Dies ist ein wichtiges Signal, dass die Entwicklung von qualitativ hochwertigen, innovativen Gesundheitslösungen am Standort Deutschland gewünscht ist und unterstützt wird.</w:t>
      </w:r>
    </w:p>
    <w:p w14:paraId="203D6425" w14:textId="12996974" w:rsidR="0077578C" w:rsidRPr="0077578C" w:rsidRDefault="00426011" w:rsidP="0077578C">
      <w:pPr>
        <w:rPr>
          <w:rFonts w:ascii="Arial Narrow" w:hAnsi="Arial Narrow"/>
        </w:rPr>
      </w:pPr>
      <w:r w:rsidRPr="007B1232">
        <w:rPr>
          <w:rFonts w:ascii="Arial Narrow" w:hAnsi="Arial Narrow"/>
        </w:rPr>
        <w:t xml:space="preserve">Die forschende </w:t>
      </w:r>
      <w:r>
        <w:rPr>
          <w:rFonts w:ascii="Arial Narrow" w:hAnsi="Arial Narrow"/>
        </w:rPr>
        <w:t>MedTech-Industrie und Pharmaindustrie sind</w:t>
      </w:r>
      <w:r w:rsidRPr="007B1232">
        <w:rPr>
          <w:rFonts w:ascii="Arial Narrow" w:hAnsi="Arial Narrow"/>
        </w:rPr>
        <w:t xml:space="preserve"> Wachstumstreiber in der Gesundheitswirtschaft am Innovationsstandort Deutschland</w:t>
      </w:r>
      <w:r>
        <w:rPr>
          <w:rFonts w:ascii="Arial Narrow" w:hAnsi="Arial Narrow"/>
        </w:rPr>
        <w:t>.</w:t>
      </w:r>
      <w:r w:rsidRPr="007B1232">
        <w:rPr>
          <w:rFonts w:ascii="Arial Narrow" w:hAnsi="Arial Narrow"/>
        </w:rPr>
        <w:t xml:space="preserve"> </w:t>
      </w:r>
      <w:r w:rsidR="0077578C" w:rsidRPr="0077578C">
        <w:rPr>
          <w:rFonts w:ascii="Arial Narrow" w:hAnsi="Arial Narrow"/>
        </w:rPr>
        <w:t xml:space="preserve">Diese Innovationsfähigkeit und das Innovationspotential sind gefährdet, wenn in Deutschland keine Entwicklung von digitalen Innovationen auf Basis eigener Datenbestände möglich ist. Der Zugang zu validierten Daten ist für die Forschung und Entwicklung von innovativen Lösungen eine entscheidende Voraussetzung und ein eigenständiger Standortfaktor im internationalen Wettbewerb. </w:t>
      </w:r>
      <w:r w:rsidRPr="007B1232">
        <w:rPr>
          <w:rFonts w:ascii="Arial Narrow" w:hAnsi="Arial Narrow"/>
        </w:rPr>
        <w:t>Bereits heute haben andere Gesundheitssysteme wie Schweden, das Vereinigte Königreich oder Australien beim Datenzugang auch für private Forschung die Nase vorn und sind für forschungsorientierte Unternehmen attraktiver. In Finnland haben bereits seit Anfang 2020 neben Forschungsinstitutionen auch forschende Industrieunternehmen per One-Stop-Shop-Zugriff auf Gesundheits- und Sozialdaten</w:t>
      </w:r>
      <w:r>
        <w:rPr>
          <w:rFonts w:ascii="Arial Narrow" w:hAnsi="Arial Narrow"/>
        </w:rPr>
        <w:t>.</w:t>
      </w:r>
      <w:r>
        <w:rPr>
          <w:rFonts w:ascii="Arial Narrow" w:hAnsi="Arial Narrow"/>
        </w:rPr>
        <w:t xml:space="preserve"> </w:t>
      </w:r>
      <w:r w:rsidR="0077578C" w:rsidRPr="0077578C">
        <w:rPr>
          <w:rFonts w:ascii="Arial Narrow" w:hAnsi="Arial Narrow"/>
        </w:rPr>
        <w:t xml:space="preserve">Nur auf Basis solcher Daten können Anwender und Hersteller qualitativ hochwertige Lösungen entwickeln. Deutschland wird die Chancen für eine bessere Gesundheitsversorgung und für Wachstum und Beschäftigung in einer dynamischen Wachstumsbranche nur </w:t>
      </w:r>
      <w:r w:rsidR="0077578C" w:rsidRPr="0077578C">
        <w:rPr>
          <w:rFonts w:ascii="Arial Narrow" w:hAnsi="Arial Narrow"/>
        </w:rPr>
        <w:lastRenderedPageBreak/>
        <w:t xml:space="preserve">nutzen können, wenn dafür im internationalen Vergleich die richtigen Rahmenbedingungen gegeben sind. Der Zugang zu validierten Daten für Forschung und Entwicklung ist dabei essenziell. </w:t>
      </w:r>
    </w:p>
    <w:p w14:paraId="075080BD" w14:textId="77777777" w:rsidR="00426011" w:rsidRDefault="00426011" w:rsidP="0077578C">
      <w:pPr>
        <w:rPr>
          <w:rFonts w:ascii="Arial Narrow" w:hAnsi="Arial Narrow"/>
        </w:rPr>
      </w:pPr>
    </w:p>
    <w:p w14:paraId="366789CF" w14:textId="002DC62A" w:rsidR="00426011" w:rsidRPr="00426011" w:rsidRDefault="00426011" w:rsidP="0077578C">
      <w:pPr>
        <w:rPr>
          <w:rFonts w:ascii="Arial Narrow" w:hAnsi="Arial Narrow"/>
          <w:b/>
        </w:rPr>
      </w:pPr>
      <w:r>
        <w:rPr>
          <w:rFonts w:ascii="Arial Narrow" w:hAnsi="Arial Narrow"/>
          <w:b/>
        </w:rPr>
        <w:t>Alternativer Lösungsansatz:</w:t>
      </w:r>
    </w:p>
    <w:p w14:paraId="6639E576" w14:textId="77777777" w:rsidR="0077578C" w:rsidRPr="0077578C" w:rsidRDefault="0077578C" w:rsidP="0077578C">
      <w:pPr>
        <w:rPr>
          <w:rFonts w:ascii="Arial Narrow" w:hAnsi="Arial Narrow"/>
        </w:rPr>
      </w:pPr>
      <w:r w:rsidRPr="0077578C">
        <w:rPr>
          <w:rFonts w:ascii="Arial Narrow" w:hAnsi="Arial Narrow"/>
        </w:rPr>
        <w:t xml:space="preserve">Einen alternativen Ansatz für einen angemessenen, sachgerechten, praxisorientierten und geregelten Datenzugang zu einer Patienten-individuell gemanagten elektronischen Patientenakte bietet die Idee eines „Gesundheitsdatenspendeausweises 4.0“, den das Bundesministerium für Gesundheit (BMG) jedem krankenversicherten Gesundheitsbürger zur Verfügung stellen und für jeden Gesundheitsbürger individuell verwalten würde. Der Ausweis würde die eindeutige Identifikation des grundsätzlich Gesundheitsdatenspende-willigen Gesundheitsbürgers herstellen. Die Gesundheitsdatenspende würde weiterhin freiwillig bleiben. Die Zustimmung zur Gesundheitsdatenspende sollte für jeden Gesundheitsbürger fallspezifisch und möglichst automatisiert (4.0) geregelt sein. Der Gesundheitsbürger sollte für seine individuelle Gesundheitsdatenspende von denen belohnt werden, die einen Nutzen aus der Datenspende ziehen. Die Prozesse zur individualisierten Analyse der gespendeten Gesundheitsdaten sollten so gestaltet sein, dass der Zweck der Datenverwendung und die Datenverwender sich nachvollziehen lassen. Nur so kann erreicht werden, dass die vom Gesundheitsbürger gespendeten Daten ihm selbst in einer modernen, digital-gestützten Gesundheitsversorgung 4.0 zu Gute kommen könnten. </w:t>
      </w:r>
    </w:p>
    <w:p w14:paraId="7717D85A" w14:textId="77777777" w:rsidR="00426011" w:rsidRDefault="00426011" w:rsidP="007B1232">
      <w:pPr>
        <w:rPr>
          <w:rFonts w:ascii="Arial Narrow" w:hAnsi="Arial Narrow"/>
          <w:b/>
        </w:rPr>
      </w:pPr>
    </w:p>
    <w:p w14:paraId="67F51681" w14:textId="66D84B2A" w:rsidR="00F524E1" w:rsidRPr="00F524E1" w:rsidRDefault="00F524E1" w:rsidP="007B1232">
      <w:pPr>
        <w:rPr>
          <w:rFonts w:ascii="Arial Narrow" w:hAnsi="Arial Narrow"/>
          <w:b/>
        </w:rPr>
      </w:pPr>
      <w:r w:rsidRPr="00F524E1">
        <w:rPr>
          <w:rFonts w:ascii="Arial Narrow" w:hAnsi="Arial Narrow"/>
          <w:b/>
        </w:rPr>
        <w:t xml:space="preserve">Im Folgenden werden </w:t>
      </w:r>
      <w:r w:rsidR="0077578C">
        <w:rPr>
          <w:rFonts w:ascii="Arial Narrow" w:hAnsi="Arial Narrow"/>
          <w:b/>
        </w:rPr>
        <w:t>zwei</w:t>
      </w:r>
      <w:r w:rsidRPr="00F524E1">
        <w:rPr>
          <w:rFonts w:ascii="Arial Narrow" w:hAnsi="Arial Narrow"/>
          <w:b/>
        </w:rPr>
        <w:t xml:space="preserve"> Beispiele aus der Medizintechnik aufgeführt, aus denen die Potenziale aus der Nutzung von Versorgungsdaten deutlich werden:</w:t>
      </w:r>
    </w:p>
    <w:p w14:paraId="1B6C3012" w14:textId="4F709E06" w:rsidR="00722589" w:rsidRPr="00722589" w:rsidRDefault="00722589" w:rsidP="008E262F">
      <w:pPr>
        <w:rPr>
          <w:rFonts w:ascii="Arial Narrow" w:hAnsi="Arial Narrow"/>
          <w:b/>
          <w:i/>
        </w:rPr>
      </w:pPr>
      <w:r>
        <w:rPr>
          <w:rFonts w:ascii="Arial Narrow" w:hAnsi="Arial Narrow"/>
          <w:b/>
          <w:i/>
        </w:rPr>
        <w:t>Versorgungsdaten im OP</w:t>
      </w:r>
    </w:p>
    <w:p w14:paraId="4581E18C" w14:textId="77777777" w:rsidR="008E262F" w:rsidRPr="008E262F" w:rsidRDefault="008E262F" w:rsidP="00722589">
      <w:pPr>
        <w:pStyle w:val="Listenabsatz"/>
        <w:numPr>
          <w:ilvl w:val="0"/>
          <w:numId w:val="11"/>
        </w:numPr>
        <w:ind w:left="284" w:hanging="284"/>
        <w:rPr>
          <w:rFonts w:ascii="Arial Narrow" w:hAnsi="Arial Narrow"/>
          <w:b/>
        </w:rPr>
      </w:pPr>
      <w:r w:rsidRPr="008E262F">
        <w:rPr>
          <w:rFonts w:ascii="Arial Narrow" w:hAnsi="Arial Narrow"/>
          <w:b/>
        </w:rPr>
        <w:t xml:space="preserve">Therapeutic outcome prediction: </w:t>
      </w:r>
    </w:p>
    <w:p w14:paraId="22B69A2B" w14:textId="0B6777D0" w:rsidR="008E262F" w:rsidRPr="008E262F" w:rsidRDefault="008E262F" w:rsidP="00722589">
      <w:pPr>
        <w:ind w:left="284"/>
        <w:rPr>
          <w:rFonts w:ascii="Arial Narrow" w:hAnsi="Arial Narrow"/>
        </w:rPr>
      </w:pPr>
      <w:r w:rsidRPr="008E262F">
        <w:rPr>
          <w:rFonts w:ascii="Arial Narrow" w:hAnsi="Arial Narrow"/>
        </w:rPr>
        <w:t>Aufgrund der demographischen Daten des Patienten, der Beobachtung des OP-Verlaufes und einer detaillierten OP-Protokollierung (z.B. Gerätedaten, Umgebungsvariablen und ggf. Instrumentenerkennung) kann eine KI Rückschlüsse auf den zu erwartenden Heilungsprozess und die damit erforderlichen weiteren Maßnahmen in der Nachsorge und der notwendigen weiteren Krankenhaus</w:t>
      </w:r>
      <w:r w:rsidR="00722589">
        <w:rPr>
          <w:rFonts w:ascii="Arial Narrow" w:hAnsi="Arial Narrow"/>
        </w:rPr>
        <w:t>-</w:t>
      </w:r>
      <w:r w:rsidRPr="008E262F">
        <w:rPr>
          <w:rFonts w:ascii="Arial Narrow" w:hAnsi="Arial Narrow"/>
        </w:rPr>
        <w:t>Verweildauer ziehen. Ziel ist es dabei</w:t>
      </w:r>
      <w:r w:rsidR="00722589">
        <w:rPr>
          <w:rFonts w:ascii="Arial Narrow" w:hAnsi="Arial Narrow"/>
        </w:rPr>
        <w:t>,</w:t>
      </w:r>
      <w:r w:rsidRPr="008E262F">
        <w:rPr>
          <w:rFonts w:ascii="Arial Narrow" w:hAnsi="Arial Narrow"/>
        </w:rPr>
        <w:t xml:space="preserve"> die Heilungschancen durch die eine optimierte Planung der Nachsorge weiter zu erhöhen.</w:t>
      </w:r>
    </w:p>
    <w:p w14:paraId="415FD710" w14:textId="77777777" w:rsidR="008E262F" w:rsidRPr="008E262F" w:rsidRDefault="008E262F" w:rsidP="00722589">
      <w:pPr>
        <w:pStyle w:val="Listenabsatz"/>
        <w:numPr>
          <w:ilvl w:val="0"/>
          <w:numId w:val="11"/>
        </w:numPr>
        <w:ind w:left="284" w:hanging="284"/>
        <w:rPr>
          <w:rFonts w:ascii="Arial Narrow" w:hAnsi="Arial Narrow"/>
          <w:b/>
        </w:rPr>
      </w:pPr>
      <w:r w:rsidRPr="008E262F">
        <w:rPr>
          <w:rFonts w:ascii="Arial Narrow" w:hAnsi="Arial Narrow"/>
          <w:b/>
        </w:rPr>
        <w:t xml:space="preserve">Intraoperative process time prediction: </w:t>
      </w:r>
    </w:p>
    <w:p w14:paraId="14CA5303" w14:textId="77777777" w:rsidR="008E262F" w:rsidRPr="008E262F" w:rsidRDefault="008E262F" w:rsidP="00722589">
      <w:pPr>
        <w:ind w:left="284"/>
        <w:rPr>
          <w:rFonts w:ascii="Arial Narrow" w:hAnsi="Arial Narrow"/>
        </w:rPr>
      </w:pPr>
      <w:r w:rsidRPr="008E262F">
        <w:rPr>
          <w:rFonts w:ascii="Arial Narrow" w:hAnsi="Arial Narrow"/>
        </w:rPr>
        <w:t>Die Restdauer des Eingriffes kann über die Beobachtung des Eingriffes und den demographischen Daten des Patienten abgeschätzt werden. Darüber lassen sich Folgeprozesse (Reinigung, Eingriffs-Vorbereitung) nahtlos an die OP andocken und eine „Echtzeit-Anpassung“ der OP-Planung/ des OP-Managements realisieren.</w:t>
      </w:r>
    </w:p>
    <w:p w14:paraId="30DF5788" w14:textId="77777777" w:rsidR="008E262F" w:rsidRPr="008E262F" w:rsidRDefault="008E262F" w:rsidP="00722589">
      <w:pPr>
        <w:pStyle w:val="Listenabsatz"/>
        <w:numPr>
          <w:ilvl w:val="0"/>
          <w:numId w:val="11"/>
        </w:numPr>
        <w:ind w:left="284" w:hanging="284"/>
        <w:rPr>
          <w:rFonts w:ascii="Arial Narrow" w:hAnsi="Arial Narrow"/>
          <w:b/>
        </w:rPr>
      </w:pPr>
      <w:r w:rsidRPr="008E262F">
        <w:rPr>
          <w:rFonts w:ascii="Arial Narrow" w:hAnsi="Arial Narrow"/>
          <w:b/>
        </w:rPr>
        <w:t xml:space="preserve">Surgical process optimization: </w:t>
      </w:r>
    </w:p>
    <w:p w14:paraId="471B520F" w14:textId="032DD427" w:rsidR="008E262F" w:rsidRDefault="008E262F" w:rsidP="00722589">
      <w:pPr>
        <w:ind w:left="284"/>
        <w:rPr>
          <w:rFonts w:ascii="Arial Narrow" w:hAnsi="Arial Narrow"/>
        </w:rPr>
      </w:pPr>
      <w:r w:rsidRPr="008E262F">
        <w:rPr>
          <w:rFonts w:ascii="Arial Narrow" w:hAnsi="Arial Narrow"/>
        </w:rPr>
        <w:t>Auf der Beobachtung des Eingriffes, der Kenntnis des Modells des Eingriffes und der Kenntnis des Operateurs und des Assistenten kann ein System verschiedene chirurgische Schulen vergleichen, um nach medizinischen, ethischen und wirtschaftlichen KPIs standardisierte Verfahren abzuleiten. Außerdem erlaubt die qualitative Beurteilung von verschiedenen chirurgischen Methoden auch ein Nachweis über ihre jeweilige nachhaltige Wirksamkeit.</w:t>
      </w:r>
    </w:p>
    <w:p w14:paraId="1C79B83F" w14:textId="77777777" w:rsidR="00722589" w:rsidRDefault="00722589" w:rsidP="008E262F">
      <w:pPr>
        <w:rPr>
          <w:rFonts w:ascii="Arial Narrow" w:hAnsi="Arial Narrow"/>
          <w:b/>
          <w:i/>
        </w:rPr>
      </w:pPr>
    </w:p>
    <w:p w14:paraId="7E27E4DC" w14:textId="05D1FE80" w:rsidR="008E262F" w:rsidRPr="00722589" w:rsidRDefault="00722589" w:rsidP="008E262F">
      <w:pPr>
        <w:rPr>
          <w:rFonts w:ascii="Arial Narrow" w:hAnsi="Arial Narrow"/>
          <w:b/>
          <w:i/>
        </w:rPr>
      </w:pPr>
      <w:r w:rsidRPr="00722589">
        <w:rPr>
          <w:rFonts w:ascii="Arial Narrow" w:hAnsi="Arial Narrow"/>
          <w:b/>
          <w:i/>
        </w:rPr>
        <w:t xml:space="preserve">Versorgungsdaten in der außerklinischen Beatmung und Schlafmedizin </w:t>
      </w:r>
    </w:p>
    <w:p w14:paraId="0310DF86" w14:textId="77777777" w:rsidR="00722589" w:rsidRPr="0077578C" w:rsidRDefault="00722589" w:rsidP="0077578C">
      <w:pPr>
        <w:pStyle w:val="Listenabsatz"/>
        <w:numPr>
          <w:ilvl w:val="0"/>
          <w:numId w:val="11"/>
        </w:numPr>
        <w:ind w:left="284" w:hanging="284"/>
        <w:rPr>
          <w:rFonts w:ascii="Arial Narrow" w:hAnsi="Arial Narrow"/>
          <w:b/>
        </w:rPr>
      </w:pPr>
      <w:r w:rsidRPr="0077578C">
        <w:rPr>
          <w:rFonts w:ascii="Arial Narrow" w:hAnsi="Arial Narrow"/>
          <w:b/>
        </w:rPr>
        <w:t xml:space="preserve">Therapietreue der Patienten: </w:t>
      </w:r>
    </w:p>
    <w:p w14:paraId="2E93DB11" w14:textId="395BD98B" w:rsidR="008E262F" w:rsidRPr="0025445F" w:rsidRDefault="008E262F" w:rsidP="0077578C">
      <w:pPr>
        <w:ind w:left="284"/>
        <w:rPr>
          <w:rFonts w:ascii="Arial Narrow" w:hAnsi="Arial Narrow"/>
        </w:rPr>
      </w:pPr>
      <w:r w:rsidRPr="0025445F">
        <w:rPr>
          <w:rFonts w:ascii="Arial Narrow" w:hAnsi="Arial Narrow"/>
        </w:rPr>
        <w:t xml:space="preserve">Die Therapietreue der Patienten ist einer der entscheidenden Faktoren für den Erfolg der Überdrucktherapie bei der Behandlung der Chronisch Obstruktiven Schlafapnoe und anderen schlafbezogenen Atmungsstörungen. Um den Therapieerfolg langfristig zu erhalten, sollten Patienten motiviert werden ihre </w:t>
      </w:r>
      <w:r w:rsidRPr="0025445F">
        <w:rPr>
          <w:rFonts w:ascii="Arial Narrow" w:hAnsi="Arial Narrow"/>
        </w:rPr>
        <w:lastRenderedPageBreak/>
        <w:t>Therapiegeräte dauerhaft und ausreichend lange zu verwenden. Um genau solche Patienten zu erreichen, die ihre Therapie durch Motivation, Zurede und erweiterte Untersetzung weiter optimieren können, ist es erforderlich, einen kontinuierlichen Zugang zu den fortlaufend erfassten Nutzungsschemata zu ermöglichen und auf Grundlage dieser Informationen positiv auf den Patienten einzuwirken. Hier können Ärzte, medizinisches Fachpersonal und der Versorger einen erheblichen Beitrag leisten, den Therapieerfolg zu sichern, ohne zusätzliche personelle Ressourcen aufzubauen.</w:t>
      </w:r>
    </w:p>
    <w:p w14:paraId="62404835" w14:textId="77777777" w:rsidR="0077578C" w:rsidRDefault="008E262F" w:rsidP="0077578C">
      <w:pPr>
        <w:pStyle w:val="Listenabsatz"/>
        <w:numPr>
          <w:ilvl w:val="0"/>
          <w:numId w:val="11"/>
        </w:numPr>
        <w:ind w:left="284" w:hanging="284"/>
        <w:rPr>
          <w:rFonts w:ascii="Arial Narrow" w:hAnsi="Arial Narrow"/>
          <w:b/>
        </w:rPr>
      </w:pPr>
      <w:r w:rsidRPr="008E262F">
        <w:rPr>
          <w:rFonts w:ascii="Arial Narrow" w:hAnsi="Arial Narrow"/>
          <w:b/>
        </w:rPr>
        <w:t xml:space="preserve">Prädiktorenmodelle: </w:t>
      </w:r>
    </w:p>
    <w:p w14:paraId="391B6E3A" w14:textId="571F1449" w:rsidR="008E262F" w:rsidRPr="0077578C" w:rsidRDefault="008E262F" w:rsidP="0077578C">
      <w:pPr>
        <w:ind w:left="284"/>
        <w:rPr>
          <w:rFonts w:ascii="Arial Narrow" w:hAnsi="Arial Narrow"/>
        </w:rPr>
      </w:pPr>
      <w:r w:rsidRPr="008E262F">
        <w:rPr>
          <w:rFonts w:ascii="Arial Narrow" w:hAnsi="Arial Narrow"/>
        </w:rPr>
        <w:t xml:space="preserve">Als Anbieter von telemonitorisch unterstützten schlaf- und beatmungsmedizinischen Therapielösungen sind </w:t>
      </w:r>
      <w:r>
        <w:rPr>
          <w:rFonts w:ascii="Arial Narrow" w:hAnsi="Arial Narrow"/>
        </w:rPr>
        <w:t xml:space="preserve">Leistungserbringer in diesem Versorgungsbereich </w:t>
      </w:r>
      <w:r w:rsidRPr="008E262F">
        <w:rPr>
          <w:rFonts w:ascii="Arial Narrow" w:hAnsi="Arial Narrow"/>
        </w:rPr>
        <w:t>bislang reduziert auf die jeweils krankheitsbezogenen direkten Therapiedaten. Durch eine Ausweitung des Datenpools z.B. auf Vital- und weitere Daten von Patienten können Prädiktorenmodelle aufgebaut werden, mit deren Hilfe frühzeitig Tendenzen zu bestimmten Komorbiditäten identifiziert werden können. Die Interaktion zwischen Herstellern und Anbietern von Healthcare-IT-Lösungen und der Wissenschaft lassen neue Versorgungskonzepte und –pfade entstehen, die letztlich dem Patienten und dem gesamten Gesundheitssystem nutzen.</w:t>
      </w:r>
    </w:p>
    <w:p w14:paraId="34B45652" w14:textId="77777777" w:rsidR="0077578C" w:rsidRPr="0077578C" w:rsidRDefault="008E262F" w:rsidP="0077578C">
      <w:pPr>
        <w:pStyle w:val="Listenabsatz"/>
        <w:numPr>
          <w:ilvl w:val="0"/>
          <w:numId w:val="11"/>
        </w:numPr>
        <w:ind w:left="284" w:hanging="284"/>
        <w:rPr>
          <w:rFonts w:ascii="Arial Narrow" w:hAnsi="Arial Narrow"/>
          <w:b/>
        </w:rPr>
      </w:pPr>
      <w:r w:rsidRPr="008E262F">
        <w:rPr>
          <w:rFonts w:ascii="Arial Narrow" w:hAnsi="Arial Narrow"/>
          <w:b/>
        </w:rPr>
        <w:t>Sicherung des Therapieerfolgs</w:t>
      </w:r>
      <w:r w:rsidRPr="008E262F">
        <w:rPr>
          <w:rFonts w:ascii="Arial Narrow" w:hAnsi="Arial Narrow"/>
          <w:b/>
        </w:rPr>
        <w:t>:</w:t>
      </w:r>
      <w:r w:rsidRPr="0077578C">
        <w:rPr>
          <w:rFonts w:ascii="Arial Narrow" w:hAnsi="Arial Narrow"/>
          <w:b/>
        </w:rPr>
        <w:t xml:space="preserve"> </w:t>
      </w:r>
    </w:p>
    <w:p w14:paraId="62F44134" w14:textId="056059C4" w:rsidR="00F524E1" w:rsidRPr="0025445F" w:rsidRDefault="00F524E1" w:rsidP="0077578C">
      <w:pPr>
        <w:ind w:left="284"/>
        <w:rPr>
          <w:rFonts w:ascii="Arial Narrow" w:hAnsi="Arial Narrow"/>
        </w:rPr>
      </w:pPr>
      <w:r w:rsidRPr="0025445F">
        <w:rPr>
          <w:rFonts w:ascii="Arial Narrow" w:hAnsi="Arial Narrow"/>
        </w:rPr>
        <w:t xml:space="preserve">Probleme bei der Verwendung der Therapiegeräte oder des Zubehörs sind einer der Hauptgründe für eine schlechte </w:t>
      </w:r>
      <w:r w:rsidRPr="008E262F">
        <w:rPr>
          <w:rFonts w:ascii="Arial Narrow" w:hAnsi="Arial Narrow"/>
        </w:rPr>
        <w:t>Patienten-Compliance</w:t>
      </w:r>
      <w:r w:rsidRPr="0025445F">
        <w:rPr>
          <w:rFonts w:ascii="Arial Narrow" w:hAnsi="Arial Narrow"/>
        </w:rPr>
        <w:t xml:space="preserve"> bei der Behandlung der schlafbezogenen Atemstörungen und resultieren möglicherweise in einer suboptimaleren Therapie oder führen zu Therapieverweigerung. Die algorithmische Unterstützung mittels einer automatisierten Auswertung therapiebezogener Daten und allgemeinen Nutzungsschemata, ermöglicht ein unmittelbares und kosteneffizientes, niederschwelliges Hilfsangebot. Patienten wird es so ermöglicht, selbstständig am Erfolg der Therapie mitzuwirken und sie können engmaschig über die Wirksamkeit der Maßnahme auf dem Laufenden gehalten werden. Beides trägt zur Sicherung des Therapieerfolgs bei.</w:t>
      </w:r>
    </w:p>
    <w:p w14:paraId="5C605CBD" w14:textId="77777777" w:rsidR="0077578C" w:rsidRPr="0077578C" w:rsidRDefault="008E262F" w:rsidP="0077578C">
      <w:pPr>
        <w:pStyle w:val="Listenabsatz"/>
        <w:numPr>
          <w:ilvl w:val="0"/>
          <w:numId w:val="11"/>
        </w:numPr>
        <w:ind w:left="284" w:hanging="284"/>
        <w:rPr>
          <w:rFonts w:ascii="Arial Narrow" w:hAnsi="Arial Narrow"/>
          <w:b/>
        </w:rPr>
      </w:pPr>
      <w:r w:rsidRPr="008E262F">
        <w:rPr>
          <w:rFonts w:ascii="Arial Narrow" w:hAnsi="Arial Narrow"/>
          <w:b/>
        </w:rPr>
        <w:t>Durchführung der bestmöglichen Therapie</w:t>
      </w:r>
      <w:r w:rsidRPr="008E262F">
        <w:rPr>
          <w:rFonts w:ascii="Arial Narrow" w:hAnsi="Arial Narrow"/>
          <w:b/>
        </w:rPr>
        <w:t>:</w:t>
      </w:r>
      <w:r w:rsidRPr="0077578C">
        <w:rPr>
          <w:rFonts w:ascii="Arial Narrow" w:hAnsi="Arial Narrow"/>
          <w:b/>
        </w:rPr>
        <w:t xml:space="preserve"> </w:t>
      </w:r>
    </w:p>
    <w:p w14:paraId="4F765D27" w14:textId="66BB0674" w:rsidR="00F524E1" w:rsidRPr="0025445F" w:rsidRDefault="00F524E1" w:rsidP="0077578C">
      <w:pPr>
        <w:ind w:left="284"/>
        <w:rPr>
          <w:rFonts w:ascii="Arial Narrow" w:hAnsi="Arial Narrow"/>
        </w:rPr>
      </w:pPr>
      <w:r w:rsidRPr="0025445F">
        <w:rPr>
          <w:rFonts w:ascii="Arial Narrow" w:hAnsi="Arial Narrow"/>
        </w:rPr>
        <w:t>Die Schlafapnoe hat Einfluss auf vorliegende Begleiterkrankungen und somit muss die Therapie der Schlafapnoe im Behandlungskontext multimorbider Patienten berücksichtigt werden. Der Zugang zu allen Behandlungsdaten einzelner Patienten ist für die Durchführung der bestmöglichen Therapie entscheidend, da nur so alle Einflussfaktoren berücksichtigt und gesteuert werden können.</w:t>
      </w:r>
    </w:p>
    <w:p w14:paraId="2FF37479" w14:textId="5F0FFD47" w:rsidR="0077578C" w:rsidRPr="0077578C" w:rsidRDefault="0077578C" w:rsidP="0077578C">
      <w:pPr>
        <w:pStyle w:val="Listenabsatz"/>
        <w:numPr>
          <w:ilvl w:val="0"/>
          <w:numId w:val="11"/>
        </w:numPr>
        <w:ind w:left="284" w:hanging="284"/>
        <w:rPr>
          <w:rFonts w:ascii="Arial Narrow" w:hAnsi="Arial Narrow"/>
          <w:b/>
        </w:rPr>
      </w:pPr>
      <w:r w:rsidRPr="0077578C">
        <w:rPr>
          <w:rFonts w:ascii="Arial Narrow" w:hAnsi="Arial Narrow"/>
          <w:b/>
        </w:rPr>
        <w:t>Einsparungen personeller Ressourcen</w:t>
      </w:r>
      <w:r>
        <w:rPr>
          <w:rFonts w:ascii="Arial Narrow" w:hAnsi="Arial Narrow"/>
          <w:b/>
        </w:rPr>
        <w:t>:</w:t>
      </w:r>
    </w:p>
    <w:p w14:paraId="0AE08547" w14:textId="4280EF8E" w:rsidR="00F524E1" w:rsidRPr="0025445F" w:rsidRDefault="00F524E1" w:rsidP="0077578C">
      <w:pPr>
        <w:ind w:left="284"/>
        <w:rPr>
          <w:rFonts w:ascii="Arial Narrow" w:hAnsi="Arial Narrow"/>
        </w:rPr>
      </w:pPr>
      <w:r w:rsidRPr="0025445F">
        <w:rPr>
          <w:rFonts w:ascii="Arial Narrow" w:hAnsi="Arial Narrow"/>
        </w:rPr>
        <w:t>Die Entwicklung und Versorgung mit Therapiegeräten zur Behandlung von Atemwegserkrankungen oder schlafbezogenen Atmungsstörungen ist von einem zunehmend hohen Kostendruck geprägt, der Hersteller und Versorger zu Einsparungen treibt. Die Aufrechterhaltung der optimalen medizinischen Qualität muss weiterhin gewährleistet sein. Die personellen Ressourcen sind einer der primären Kostentreiber. Zugang zu Daten aus dem Behandlungsumfeld ermöglicht es medizinischem Fachpersonal zu beurteilen, welche Patienten maßgeblich von der persönlicheren Betreuung profitieren. So kann einer Priorisierung von Patientenkontakten umgesetzt werden, ohne die Qualität der Betreuung zu verringern.</w:t>
      </w:r>
    </w:p>
    <w:p w14:paraId="62659BAE" w14:textId="7069CAF5" w:rsidR="00F524E1" w:rsidRPr="0025445F" w:rsidRDefault="00F524E1" w:rsidP="00F524E1">
      <w:pPr>
        <w:rPr>
          <w:rFonts w:ascii="Arial Narrow" w:hAnsi="Arial Narrow"/>
        </w:rPr>
      </w:pPr>
      <w:r w:rsidRPr="0025445F">
        <w:rPr>
          <w:rFonts w:ascii="Arial Narrow" w:hAnsi="Arial Narrow"/>
        </w:rPr>
        <w:tab/>
      </w:r>
    </w:p>
    <w:p w14:paraId="6F08452C" w14:textId="77777777" w:rsidR="00B7566E" w:rsidRDefault="00B7566E" w:rsidP="00B7566E">
      <w:pPr>
        <w:rPr>
          <w:rFonts w:ascii="Arial Narrow" w:hAnsi="Arial Narrow"/>
          <w:b/>
        </w:rPr>
      </w:pPr>
      <w:bookmarkStart w:id="0" w:name="_GoBack"/>
      <w:bookmarkEnd w:id="0"/>
      <w:r w:rsidRPr="008B0228">
        <w:rPr>
          <w:rFonts w:ascii="Arial Narrow" w:hAnsi="Arial Narrow"/>
          <w:b/>
        </w:rPr>
        <w:t xml:space="preserve">Kontaktdaten für Rückfragen: </w:t>
      </w:r>
    </w:p>
    <w:p w14:paraId="2B52AB23" w14:textId="77777777" w:rsidR="00B7566E" w:rsidRPr="008B0228" w:rsidRDefault="00B7566E" w:rsidP="00B7566E">
      <w:pPr>
        <w:rPr>
          <w:rFonts w:ascii="Arial Narrow" w:hAnsi="Arial Narrow"/>
        </w:rPr>
      </w:pPr>
      <w:r w:rsidRPr="008B0228">
        <w:rPr>
          <w:rFonts w:ascii="Arial Narrow" w:hAnsi="Arial Narrow"/>
        </w:rPr>
        <w:t xml:space="preserve">Marcus Kuhlmann </w:t>
      </w:r>
      <w:r w:rsidRPr="008B0228">
        <w:rPr>
          <w:rFonts w:ascii="Arial Narrow" w:hAnsi="Arial Narrow"/>
          <w:b/>
        </w:rPr>
        <w:t>I</w:t>
      </w:r>
      <w:r w:rsidRPr="008B0228">
        <w:rPr>
          <w:rFonts w:ascii="Arial Narrow" w:hAnsi="Arial Narrow"/>
        </w:rPr>
        <w:t xml:space="preserve"> Leiter Fachverband Medizintechnik </w:t>
      </w:r>
      <w:r w:rsidRPr="008B0228">
        <w:rPr>
          <w:rFonts w:ascii="Arial Narrow" w:hAnsi="Arial Narrow"/>
          <w:b/>
        </w:rPr>
        <w:t>I</w:t>
      </w:r>
      <w:r w:rsidRPr="008B0228">
        <w:rPr>
          <w:rFonts w:ascii="Arial Narrow" w:hAnsi="Arial Narrow"/>
        </w:rPr>
        <w:t xml:space="preserve"> 030 – 41 40 21 17 </w:t>
      </w:r>
      <w:r>
        <w:rPr>
          <w:rFonts w:ascii="Arial Narrow" w:hAnsi="Arial Narrow"/>
          <w:b/>
        </w:rPr>
        <w:t>I</w:t>
      </w:r>
      <w:r w:rsidRPr="008B0228">
        <w:rPr>
          <w:rFonts w:ascii="Arial Narrow" w:hAnsi="Arial Narrow"/>
        </w:rPr>
        <w:t xml:space="preserve"> kuhlmann@spectaris.de </w:t>
      </w:r>
    </w:p>
    <w:p w14:paraId="2EFB0554" w14:textId="77777777" w:rsidR="00B7566E" w:rsidRPr="00B7566E" w:rsidRDefault="00B7566E" w:rsidP="00B7566E">
      <w:pPr>
        <w:rPr>
          <w:rFonts w:ascii="Arial Narrow" w:hAnsi="Arial Narrow"/>
        </w:rPr>
      </w:pPr>
    </w:p>
    <w:sectPr w:rsidR="00B7566E" w:rsidRPr="00B7566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B79F" w16cex:dateUtc="2020-08-25T14:15:00Z"/>
  <w16cex:commentExtensible w16cex:durableId="22EFB675" w16cex:dateUtc="2020-08-25T14:10:00Z"/>
  <w16cex:commentExtensible w16cex:durableId="22EFB810" w16cex:dateUtc="2020-08-25T14:17:00Z"/>
  <w16cex:commentExtensible w16cex:durableId="22EFBAF0" w16cex:dateUtc="2020-08-25T14:29:00Z"/>
  <w16cex:commentExtensible w16cex:durableId="22EFBC13" w16cex:dateUtc="2020-08-25T14:34:00Z"/>
  <w16cex:commentExtensible w16cex:durableId="22EFBCA0" w16cex:dateUtc="2020-08-25T14:36:00Z"/>
  <w16cex:commentExtensible w16cex:durableId="22EFBD1C" w16cex:dateUtc="2020-08-25T14:38:00Z"/>
  <w16cex:commentExtensible w16cex:durableId="22EFBE98" w16cex:dateUtc="2020-08-25T14:45:00Z"/>
  <w16cex:commentExtensible w16cex:durableId="22EFC040" w16cex:dateUtc="2020-08-25T14:52:00Z"/>
  <w16cex:commentExtensible w16cex:durableId="22EFC075" w16cex:dateUtc="2020-08-25T14:53:00Z"/>
  <w16cex:commentExtensible w16cex:durableId="22EFC0B2" w16cex:dateUtc="2020-08-25T14:54:00Z"/>
  <w16cex:commentExtensible w16cex:durableId="22EFC13D" w16cex:dateUtc="2020-08-25T14:56:00Z"/>
  <w16cex:commentExtensible w16cex:durableId="22EFC170" w16cex:dateUtc="2020-08-25T14:57:00Z"/>
  <w16cex:commentExtensible w16cex:durableId="22EFC1E4" w16cex:dateUtc="2020-08-25T14:59:00Z"/>
  <w16cex:commentExtensible w16cex:durableId="22EFC3D7" w16cex:dateUtc="2020-08-25T15:07:00Z"/>
  <w16cex:commentExtensible w16cex:durableId="22EFC4B0" w16cex:dateUtc="2020-08-25T15:11:00Z"/>
  <w16cex:commentExtensible w16cex:durableId="22EFC580" w16cex:dateUtc="2020-08-25T15:14:00Z"/>
  <w16cex:commentExtensible w16cex:durableId="22EFC670" w16cex:dateUtc="2020-08-25T15:18:00Z"/>
  <w16cex:commentExtensible w16cex:durableId="22EFC649" w16cex:dateUtc="2020-08-25T15:18:00Z"/>
  <w16cex:commentExtensible w16cex:durableId="22EFC76D" w16cex:dateUtc="2020-08-25T15:22:00Z"/>
  <w16cex:commentExtensible w16cex:durableId="22EFC7A3" w16cex:dateUtc="2020-08-25T15:23:00Z"/>
  <w16cex:commentExtensible w16cex:durableId="22EFC7D2" w16cex:dateUtc="2020-08-25T15:24:00Z"/>
  <w16cex:commentExtensible w16cex:durableId="22EFC7FF" w16cex:dateUtc="2020-08-25T15:25:00Z"/>
  <w16cex:commentExtensible w16cex:durableId="22EFC825" w16cex:dateUtc="2020-08-25T15:25:00Z"/>
  <w16cex:commentExtensible w16cex:durableId="22EFC841" w16cex:dateUtc="2020-08-25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4CD93" w16cid:durableId="234D5F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BC427" w14:textId="77777777" w:rsidR="003A5510" w:rsidRDefault="003A5510" w:rsidP="007E4820">
      <w:pPr>
        <w:spacing w:after="0" w:line="240" w:lineRule="auto"/>
      </w:pPr>
      <w:r>
        <w:separator/>
      </w:r>
    </w:p>
  </w:endnote>
  <w:endnote w:type="continuationSeparator" w:id="0">
    <w:p w14:paraId="5F236706" w14:textId="77777777" w:rsidR="003A5510" w:rsidRDefault="003A5510" w:rsidP="007E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64A65" w14:textId="77777777" w:rsidR="00E90A1D" w:rsidRDefault="00E90A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1422760859"/>
      <w:docPartObj>
        <w:docPartGallery w:val="Page Numbers (Bottom of Page)"/>
        <w:docPartUnique/>
      </w:docPartObj>
    </w:sdtPr>
    <w:sdtEndPr/>
    <w:sdtContent>
      <w:p w14:paraId="4AFD99B9" w14:textId="409C06F0" w:rsidR="00B06B03" w:rsidRPr="00416D3B" w:rsidRDefault="00B06B03">
        <w:pPr>
          <w:pStyle w:val="Fuzeile"/>
          <w:jc w:val="center"/>
          <w:rPr>
            <w:rFonts w:ascii="Arial Narrow" w:hAnsi="Arial Narrow"/>
          </w:rPr>
        </w:pPr>
        <w:r w:rsidRPr="00416D3B">
          <w:rPr>
            <w:rFonts w:ascii="Arial Narrow" w:hAnsi="Arial Narrow"/>
          </w:rPr>
          <w:fldChar w:fldCharType="begin"/>
        </w:r>
        <w:r w:rsidRPr="00416D3B">
          <w:rPr>
            <w:rFonts w:ascii="Arial Narrow" w:hAnsi="Arial Narrow"/>
          </w:rPr>
          <w:instrText>PAGE   \* MERGEFORMAT</w:instrText>
        </w:r>
        <w:r w:rsidRPr="00416D3B">
          <w:rPr>
            <w:rFonts w:ascii="Arial Narrow" w:hAnsi="Arial Narrow"/>
          </w:rPr>
          <w:fldChar w:fldCharType="separate"/>
        </w:r>
        <w:r w:rsidR="00504FCB">
          <w:rPr>
            <w:rFonts w:ascii="Arial Narrow" w:hAnsi="Arial Narrow"/>
            <w:noProof/>
          </w:rPr>
          <w:t>1</w:t>
        </w:r>
        <w:r w:rsidRPr="00416D3B">
          <w:rPr>
            <w:rFonts w:ascii="Arial Narrow" w:hAnsi="Arial Narrow"/>
          </w:rPr>
          <w:fldChar w:fldCharType="end"/>
        </w:r>
      </w:p>
    </w:sdtContent>
  </w:sdt>
  <w:p w14:paraId="5BCA0674" w14:textId="77777777" w:rsidR="00B06B03" w:rsidRDefault="00B06B0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9CDC4" w14:textId="77777777" w:rsidR="00E90A1D" w:rsidRDefault="00E90A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3415D" w14:textId="77777777" w:rsidR="003A5510" w:rsidRDefault="003A5510" w:rsidP="007E4820">
      <w:pPr>
        <w:spacing w:after="0" w:line="240" w:lineRule="auto"/>
      </w:pPr>
      <w:r>
        <w:separator/>
      </w:r>
    </w:p>
  </w:footnote>
  <w:footnote w:type="continuationSeparator" w:id="0">
    <w:p w14:paraId="469DEDA0" w14:textId="77777777" w:rsidR="003A5510" w:rsidRDefault="003A5510" w:rsidP="007E4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027AC" w14:textId="6C559EDD" w:rsidR="00E90A1D" w:rsidRDefault="003A5510">
    <w:pPr>
      <w:pStyle w:val="Kopfzeile"/>
    </w:pPr>
    <w:r>
      <w:rPr>
        <w:noProof/>
      </w:rPr>
      <w:pict w14:anchorId="454B14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336297"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 Narrow&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19507" w14:textId="35B6E82A" w:rsidR="007E4820" w:rsidRDefault="003A5510" w:rsidP="007E4820">
    <w:pPr>
      <w:pStyle w:val="Kopfzeile"/>
      <w:jc w:val="right"/>
    </w:pPr>
    <w:r>
      <w:rPr>
        <w:noProof/>
      </w:rPr>
      <w:pict w14:anchorId="01B5C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336298" o:spid="_x0000_s2051" type="#_x0000_t136" style="position:absolute;left:0;text-align:left;margin-left:0;margin-top:0;width:511.6pt;height:127.9pt;rotation:315;z-index:-251653120;mso-position-horizontal:center;mso-position-horizontal-relative:margin;mso-position-vertical:center;mso-position-vertical-relative:margin" o:allowincell="f" fillcolor="silver" stroked="f">
          <v:fill opacity=".5"/>
          <v:textpath style="font-family:&quot;Arial Narrow&quot;;font-size:1pt" string="ENTWURF"/>
          <w10:wrap anchorx="margin" anchory="margin"/>
        </v:shape>
      </w:pict>
    </w:r>
    <w:r w:rsidR="007E4820">
      <w:rPr>
        <w:noProof/>
        <w:lang w:eastAsia="de-DE"/>
      </w:rPr>
      <w:drawing>
        <wp:inline distT="0" distB="0" distL="0" distR="0" wp14:anchorId="120BBEDC" wp14:editId="67A5A69B">
          <wp:extent cx="1990725" cy="66796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03026" cy="67209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9DD38" w14:textId="680B70C1" w:rsidR="00E90A1D" w:rsidRDefault="003A5510">
    <w:pPr>
      <w:pStyle w:val="Kopfzeile"/>
    </w:pPr>
    <w:r>
      <w:rPr>
        <w:noProof/>
      </w:rPr>
      <w:pict w14:anchorId="7EA702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336296" o:spid="_x0000_s2049"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Arial Narrow&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4A4"/>
    <w:multiLevelType w:val="hybridMultilevel"/>
    <w:tmpl w:val="52422B36"/>
    <w:lvl w:ilvl="0" w:tplc="490E0DB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E1372FF"/>
    <w:multiLevelType w:val="hybridMultilevel"/>
    <w:tmpl w:val="B70E3822"/>
    <w:lvl w:ilvl="0" w:tplc="76F288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281FBC"/>
    <w:multiLevelType w:val="hybridMultilevel"/>
    <w:tmpl w:val="3912C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0075E"/>
    <w:multiLevelType w:val="hybridMultilevel"/>
    <w:tmpl w:val="C23AB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C169FE"/>
    <w:multiLevelType w:val="hybridMultilevel"/>
    <w:tmpl w:val="9A5E7B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EB75F3"/>
    <w:multiLevelType w:val="hybridMultilevel"/>
    <w:tmpl w:val="018A7AB8"/>
    <w:lvl w:ilvl="0" w:tplc="8168D5CE">
      <w:start w:val="5"/>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1D41FBE"/>
    <w:multiLevelType w:val="hybridMultilevel"/>
    <w:tmpl w:val="CE82E542"/>
    <w:lvl w:ilvl="0" w:tplc="76F28834">
      <w:numFmt w:val="bullet"/>
      <w:lvlText w:val="-"/>
      <w:lvlJc w:val="left"/>
      <w:pPr>
        <w:ind w:left="1068" w:hanging="360"/>
      </w:pPr>
      <w:rPr>
        <w:rFonts w:ascii="Arial" w:eastAsiaTheme="minorHAns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7" w15:restartNumberingAfterBreak="0">
    <w:nsid w:val="455D4EF7"/>
    <w:multiLevelType w:val="hybridMultilevel"/>
    <w:tmpl w:val="16947324"/>
    <w:lvl w:ilvl="0" w:tplc="490E0DB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F476DE"/>
    <w:multiLevelType w:val="hybridMultilevel"/>
    <w:tmpl w:val="6F126A3A"/>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7A914EDB"/>
    <w:multiLevelType w:val="hybridMultilevel"/>
    <w:tmpl w:val="671E41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350CCF"/>
    <w:multiLevelType w:val="hybridMultilevel"/>
    <w:tmpl w:val="DF80BEE4"/>
    <w:lvl w:ilvl="0" w:tplc="2E1A0ED8">
      <w:numFmt w:val="bullet"/>
      <w:lvlText w:val=""/>
      <w:lvlJc w:val="left"/>
      <w:pPr>
        <w:ind w:left="1068" w:hanging="360"/>
      </w:pPr>
      <w:rPr>
        <w:rFonts w:ascii="Wingdings" w:eastAsia="Calibri" w:hAnsi="Wingdings"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num w:numId="1">
    <w:abstractNumId w:val="10"/>
  </w:num>
  <w:num w:numId="2">
    <w:abstractNumId w:val="5"/>
  </w:num>
  <w:num w:numId="3">
    <w:abstractNumId w:val="1"/>
  </w:num>
  <w:num w:numId="4">
    <w:abstractNumId w:val="6"/>
  </w:num>
  <w:num w:numId="5">
    <w:abstractNumId w:val="9"/>
  </w:num>
  <w:num w:numId="6">
    <w:abstractNumId w:val="3"/>
  </w:num>
  <w:num w:numId="7">
    <w:abstractNumId w:val="2"/>
  </w:num>
  <w:num w:numId="8">
    <w:abstractNumId w:val="7"/>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C8"/>
    <w:rsid w:val="00001E71"/>
    <w:rsid w:val="0002123D"/>
    <w:rsid w:val="0002648F"/>
    <w:rsid w:val="00033FC0"/>
    <w:rsid w:val="000425CB"/>
    <w:rsid w:val="00047DFE"/>
    <w:rsid w:val="00050105"/>
    <w:rsid w:val="0006324B"/>
    <w:rsid w:val="00084456"/>
    <w:rsid w:val="000855F9"/>
    <w:rsid w:val="000A64A2"/>
    <w:rsid w:val="000B0C99"/>
    <w:rsid w:val="000B6900"/>
    <w:rsid w:val="000B72C8"/>
    <w:rsid w:val="000C4924"/>
    <w:rsid w:val="000D2EC3"/>
    <w:rsid w:val="000E599E"/>
    <w:rsid w:val="000F0262"/>
    <w:rsid w:val="000F3122"/>
    <w:rsid w:val="000F37A3"/>
    <w:rsid w:val="000F6E4B"/>
    <w:rsid w:val="00116C7A"/>
    <w:rsid w:val="001313F1"/>
    <w:rsid w:val="00132131"/>
    <w:rsid w:val="00132D34"/>
    <w:rsid w:val="00140F14"/>
    <w:rsid w:val="00164B1E"/>
    <w:rsid w:val="00165FC0"/>
    <w:rsid w:val="001723BD"/>
    <w:rsid w:val="00191A4A"/>
    <w:rsid w:val="001A0D55"/>
    <w:rsid w:val="001A675A"/>
    <w:rsid w:val="001B4A76"/>
    <w:rsid w:val="001C1CEF"/>
    <w:rsid w:val="001C6345"/>
    <w:rsid w:val="001D7908"/>
    <w:rsid w:val="00212CA8"/>
    <w:rsid w:val="0021425C"/>
    <w:rsid w:val="00216DBB"/>
    <w:rsid w:val="002174FA"/>
    <w:rsid w:val="002256DC"/>
    <w:rsid w:val="00242E7D"/>
    <w:rsid w:val="00244606"/>
    <w:rsid w:val="00246D9F"/>
    <w:rsid w:val="0025445F"/>
    <w:rsid w:val="00260D4E"/>
    <w:rsid w:val="00265F2B"/>
    <w:rsid w:val="00272960"/>
    <w:rsid w:val="0027679E"/>
    <w:rsid w:val="002822C2"/>
    <w:rsid w:val="00282685"/>
    <w:rsid w:val="00285734"/>
    <w:rsid w:val="00287BDF"/>
    <w:rsid w:val="0029685F"/>
    <w:rsid w:val="002B236C"/>
    <w:rsid w:val="002B5997"/>
    <w:rsid w:val="002B5EBA"/>
    <w:rsid w:val="002C1EA0"/>
    <w:rsid w:val="002D1797"/>
    <w:rsid w:val="002E646C"/>
    <w:rsid w:val="002E6A97"/>
    <w:rsid w:val="002F1F5E"/>
    <w:rsid w:val="002F7A4D"/>
    <w:rsid w:val="003012C8"/>
    <w:rsid w:val="0030215D"/>
    <w:rsid w:val="00303093"/>
    <w:rsid w:val="00304F87"/>
    <w:rsid w:val="00320CFB"/>
    <w:rsid w:val="0032106F"/>
    <w:rsid w:val="003266B4"/>
    <w:rsid w:val="00334C31"/>
    <w:rsid w:val="00335D48"/>
    <w:rsid w:val="00336A49"/>
    <w:rsid w:val="00337221"/>
    <w:rsid w:val="003373C6"/>
    <w:rsid w:val="00365E49"/>
    <w:rsid w:val="00367192"/>
    <w:rsid w:val="0037170B"/>
    <w:rsid w:val="00374060"/>
    <w:rsid w:val="0039618E"/>
    <w:rsid w:val="003A2313"/>
    <w:rsid w:val="003A5369"/>
    <w:rsid w:val="003A5510"/>
    <w:rsid w:val="003A59AE"/>
    <w:rsid w:val="003B4EF4"/>
    <w:rsid w:val="003B76FE"/>
    <w:rsid w:val="003C2B21"/>
    <w:rsid w:val="003D0DE4"/>
    <w:rsid w:val="003D4DD9"/>
    <w:rsid w:val="003E0DF6"/>
    <w:rsid w:val="003F0862"/>
    <w:rsid w:val="00403220"/>
    <w:rsid w:val="0040604D"/>
    <w:rsid w:val="00416D3B"/>
    <w:rsid w:val="004253F8"/>
    <w:rsid w:val="00426011"/>
    <w:rsid w:val="0044171A"/>
    <w:rsid w:val="004549D9"/>
    <w:rsid w:val="00456D27"/>
    <w:rsid w:val="00462FD7"/>
    <w:rsid w:val="004730C0"/>
    <w:rsid w:val="004826C0"/>
    <w:rsid w:val="00484B79"/>
    <w:rsid w:val="00490A00"/>
    <w:rsid w:val="004A1912"/>
    <w:rsid w:val="004A3446"/>
    <w:rsid w:val="004A3FC8"/>
    <w:rsid w:val="004C0D72"/>
    <w:rsid w:val="004C5F0D"/>
    <w:rsid w:val="004C5F3E"/>
    <w:rsid w:val="004C7D56"/>
    <w:rsid w:val="004F4518"/>
    <w:rsid w:val="005013CD"/>
    <w:rsid w:val="00504FCB"/>
    <w:rsid w:val="00532178"/>
    <w:rsid w:val="005376C5"/>
    <w:rsid w:val="005449D8"/>
    <w:rsid w:val="0054513F"/>
    <w:rsid w:val="00546B27"/>
    <w:rsid w:val="005500E7"/>
    <w:rsid w:val="0055317E"/>
    <w:rsid w:val="0055419C"/>
    <w:rsid w:val="00555771"/>
    <w:rsid w:val="00560F9C"/>
    <w:rsid w:val="005646E8"/>
    <w:rsid w:val="00573ACA"/>
    <w:rsid w:val="0059056E"/>
    <w:rsid w:val="005A2775"/>
    <w:rsid w:val="005D028D"/>
    <w:rsid w:val="005E3293"/>
    <w:rsid w:val="005E63A5"/>
    <w:rsid w:val="005F422C"/>
    <w:rsid w:val="005F705F"/>
    <w:rsid w:val="006110D7"/>
    <w:rsid w:val="006304C6"/>
    <w:rsid w:val="00631B4B"/>
    <w:rsid w:val="006324CE"/>
    <w:rsid w:val="00636741"/>
    <w:rsid w:val="006419AE"/>
    <w:rsid w:val="00675E9D"/>
    <w:rsid w:val="00695C48"/>
    <w:rsid w:val="00697C7E"/>
    <w:rsid w:val="006A0520"/>
    <w:rsid w:val="006D53FD"/>
    <w:rsid w:val="006E5B5D"/>
    <w:rsid w:val="006F4191"/>
    <w:rsid w:val="006F79AE"/>
    <w:rsid w:val="00700942"/>
    <w:rsid w:val="00707CFA"/>
    <w:rsid w:val="00713F8C"/>
    <w:rsid w:val="007204C6"/>
    <w:rsid w:val="00722589"/>
    <w:rsid w:val="0072696E"/>
    <w:rsid w:val="00744C56"/>
    <w:rsid w:val="00755AC2"/>
    <w:rsid w:val="00756534"/>
    <w:rsid w:val="007625DE"/>
    <w:rsid w:val="00762AB3"/>
    <w:rsid w:val="007645B6"/>
    <w:rsid w:val="00767516"/>
    <w:rsid w:val="00770DEA"/>
    <w:rsid w:val="00774063"/>
    <w:rsid w:val="0077578C"/>
    <w:rsid w:val="007816CA"/>
    <w:rsid w:val="00782308"/>
    <w:rsid w:val="00793213"/>
    <w:rsid w:val="00793722"/>
    <w:rsid w:val="007A5470"/>
    <w:rsid w:val="007B1232"/>
    <w:rsid w:val="007C4C67"/>
    <w:rsid w:val="007D5775"/>
    <w:rsid w:val="007D6A46"/>
    <w:rsid w:val="007D70B6"/>
    <w:rsid w:val="007E4820"/>
    <w:rsid w:val="007E79C7"/>
    <w:rsid w:val="00810BA5"/>
    <w:rsid w:val="0081239B"/>
    <w:rsid w:val="00830EE4"/>
    <w:rsid w:val="00832BD3"/>
    <w:rsid w:val="00834E77"/>
    <w:rsid w:val="00843304"/>
    <w:rsid w:val="00847856"/>
    <w:rsid w:val="00853756"/>
    <w:rsid w:val="00861F22"/>
    <w:rsid w:val="0087367E"/>
    <w:rsid w:val="00873B35"/>
    <w:rsid w:val="00874CBE"/>
    <w:rsid w:val="00883D56"/>
    <w:rsid w:val="008909A2"/>
    <w:rsid w:val="00897635"/>
    <w:rsid w:val="008A4BFE"/>
    <w:rsid w:val="008A5F37"/>
    <w:rsid w:val="008B3FDD"/>
    <w:rsid w:val="008B46A2"/>
    <w:rsid w:val="008B6338"/>
    <w:rsid w:val="008C07EE"/>
    <w:rsid w:val="008D6C4B"/>
    <w:rsid w:val="008E095D"/>
    <w:rsid w:val="008E262F"/>
    <w:rsid w:val="008E6229"/>
    <w:rsid w:val="008F7085"/>
    <w:rsid w:val="008F7C4E"/>
    <w:rsid w:val="00900689"/>
    <w:rsid w:val="00907E72"/>
    <w:rsid w:val="009105D2"/>
    <w:rsid w:val="009111F7"/>
    <w:rsid w:val="009135E6"/>
    <w:rsid w:val="00916634"/>
    <w:rsid w:val="00917520"/>
    <w:rsid w:val="009227BC"/>
    <w:rsid w:val="00927B05"/>
    <w:rsid w:val="00934F30"/>
    <w:rsid w:val="00942DB3"/>
    <w:rsid w:val="00947345"/>
    <w:rsid w:val="0096535F"/>
    <w:rsid w:val="00975159"/>
    <w:rsid w:val="009767DD"/>
    <w:rsid w:val="00982302"/>
    <w:rsid w:val="00987BC2"/>
    <w:rsid w:val="00990B7A"/>
    <w:rsid w:val="009928BE"/>
    <w:rsid w:val="00997C4A"/>
    <w:rsid w:val="009B3BD6"/>
    <w:rsid w:val="009C435C"/>
    <w:rsid w:val="009C52B1"/>
    <w:rsid w:val="009C684E"/>
    <w:rsid w:val="009D33FC"/>
    <w:rsid w:val="009D3713"/>
    <w:rsid w:val="009E4C2E"/>
    <w:rsid w:val="009F2F79"/>
    <w:rsid w:val="00A02BA1"/>
    <w:rsid w:val="00A05E6C"/>
    <w:rsid w:val="00A1308B"/>
    <w:rsid w:val="00A32689"/>
    <w:rsid w:val="00A47A46"/>
    <w:rsid w:val="00A65525"/>
    <w:rsid w:val="00A84DC2"/>
    <w:rsid w:val="00A863F0"/>
    <w:rsid w:val="00A91CDF"/>
    <w:rsid w:val="00A928B1"/>
    <w:rsid w:val="00A95E53"/>
    <w:rsid w:val="00A96225"/>
    <w:rsid w:val="00AA225A"/>
    <w:rsid w:val="00AB249D"/>
    <w:rsid w:val="00AB7CFF"/>
    <w:rsid w:val="00AC2AC8"/>
    <w:rsid w:val="00AD77D1"/>
    <w:rsid w:val="00AE0C6E"/>
    <w:rsid w:val="00AE24E4"/>
    <w:rsid w:val="00AE2729"/>
    <w:rsid w:val="00AE465E"/>
    <w:rsid w:val="00AF0DC1"/>
    <w:rsid w:val="00AF12CF"/>
    <w:rsid w:val="00AF3848"/>
    <w:rsid w:val="00B00413"/>
    <w:rsid w:val="00B0216A"/>
    <w:rsid w:val="00B03966"/>
    <w:rsid w:val="00B06B03"/>
    <w:rsid w:val="00B0796C"/>
    <w:rsid w:val="00B2155D"/>
    <w:rsid w:val="00B26516"/>
    <w:rsid w:val="00B32915"/>
    <w:rsid w:val="00B4115B"/>
    <w:rsid w:val="00B41E99"/>
    <w:rsid w:val="00B463CE"/>
    <w:rsid w:val="00B559F2"/>
    <w:rsid w:val="00B7566E"/>
    <w:rsid w:val="00B80539"/>
    <w:rsid w:val="00B85602"/>
    <w:rsid w:val="00B867E1"/>
    <w:rsid w:val="00B961B0"/>
    <w:rsid w:val="00B96298"/>
    <w:rsid w:val="00BA0D7A"/>
    <w:rsid w:val="00BB1CB2"/>
    <w:rsid w:val="00BC2807"/>
    <w:rsid w:val="00BC39A6"/>
    <w:rsid w:val="00BC632E"/>
    <w:rsid w:val="00BD7D91"/>
    <w:rsid w:val="00BE0688"/>
    <w:rsid w:val="00BE2004"/>
    <w:rsid w:val="00BF389E"/>
    <w:rsid w:val="00BF6A98"/>
    <w:rsid w:val="00C00AC0"/>
    <w:rsid w:val="00C05F8D"/>
    <w:rsid w:val="00C0763B"/>
    <w:rsid w:val="00C12DF7"/>
    <w:rsid w:val="00C149AE"/>
    <w:rsid w:val="00C367AF"/>
    <w:rsid w:val="00C45A3A"/>
    <w:rsid w:val="00C47ECD"/>
    <w:rsid w:val="00C52505"/>
    <w:rsid w:val="00C753DB"/>
    <w:rsid w:val="00C80BC2"/>
    <w:rsid w:val="00C8439F"/>
    <w:rsid w:val="00C91346"/>
    <w:rsid w:val="00C925D0"/>
    <w:rsid w:val="00C930BE"/>
    <w:rsid w:val="00C9670F"/>
    <w:rsid w:val="00CA6F1B"/>
    <w:rsid w:val="00CB0049"/>
    <w:rsid w:val="00CB0B7B"/>
    <w:rsid w:val="00CB1F55"/>
    <w:rsid w:val="00CC4DBB"/>
    <w:rsid w:val="00CC7E42"/>
    <w:rsid w:val="00CF35A5"/>
    <w:rsid w:val="00CF4C99"/>
    <w:rsid w:val="00D02370"/>
    <w:rsid w:val="00D10E7A"/>
    <w:rsid w:val="00D13D7B"/>
    <w:rsid w:val="00D15427"/>
    <w:rsid w:val="00D22EB6"/>
    <w:rsid w:val="00D31609"/>
    <w:rsid w:val="00D348E8"/>
    <w:rsid w:val="00D43B21"/>
    <w:rsid w:val="00D44983"/>
    <w:rsid w:val="00D4598E"/>
    <w:rsid w:val="00D53863"/>
    <w:rsid w:val="00D63AA2"/>
    <w:rsid w:val="00D7033B"/>
    <w:rsid w:val="00D80C12"/>
    <w:rsid w:val="00D96EC3"/>
    <w:rsid w:val="00DB2DBF"/>
    <w:rsid w:val="00DB759C"/>
    <w:rsid w:val="00DD220E"/>
    <w:rsid w:val="00DD31B7"/>
    <w:rsid w:val="00DE3771"/>
    <w:rsid w:val="00DE4BB2"/>
    <w:rsid w:val="00DE634E"/>
    <w:rsid w:val="00DE7CD6"/>
    <w:rsid w:val="00DF2564"/>
    <w:rsid w:val="00DF62B3"/>
    <w:rsid w:val="00E039F9"/>
    <w:rsid w:val="00E04003"/>
    <w:rsid w:val="00E079A4"/>
    <w:rsid w:val="00E128CA"/>
    <w:rsid w:val="00E152C2"/>
    <w:rsid w:val="00E218D9"/>
    <w:rsid w:val="00E31507"/>
    <w:rsid w:val="00E518BB"/>
    <w:rsid w:val="00E660E8"/>
    <w:rsid w:val="00E849BA"/>
    <w:rsid w:val="00E84FA7"/>
    <w:rsid w:val="00E90A1D"/>
    <w:rsid w:val="00E95FD4"/>
    <w:rsid w:val="00EA0CCA"/>
    <w:rsid w:val="00EA2033"/>
    <w:rsid w:val="00EA6238"/>
    <w:rsid w:val="00EB1259"/>
    <w:rsid w:val="00EF0F22"/>
    <w:rsid w:val="00F00F51"/>
    <w:rsid w:val="00F06633"/>
    <w:rsid w:val="00F139D7"/>
    <w:rsid w:val="00F14B99"/>
    <w:rsid w:val="00F21AD5"/>
    <w:rsid w:val="00F31DE9"/>
    <w:rsid w:val="00F36A06"/>
    <w:rsid w:val="00F376D6"/>
    <w:rsid w:val="00F524E1"/>
    <w:rsid w:val="00F5663D"/>
    <w:rsid w:val="00F61BD4"/>
    <w:rsid w:val="00F6762D"/>
    <w:rsid w:val="00F84847"/>
    <w:rsid w:val="00F8797D"/>
    <w:rsid w:val="00F97615"/>
    <w:rsid w:val="00FA02C9"/>
    <w:rsid w:val="00FA775B"/>
    <w:rsid w:val="00FB4676"/>
    <w:rsid w:val="00FC55A3"/>
    <w:rsid w:val="00FD0D7E"/>
    <w:rsid w:val="00FD3966"/>
    <w:rsid w:val="00FF14F2"/>
    <w:rsid w:val="00FF1DF7"/>
    <w:rsid w:val="00FF314E"/>
    <w:rsid w:val="00FF3B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6393B4"/>
  <w15:chartTrackingRefBased/>
  <w15:docId w15:val="{A13DF44D-1571-49D0-90F0-9156707F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48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4820"/>
  </w:style>
  <w:style w:type="paragraph" w:styleId="Fuzeile">
    <w:name w:val="footer"/>
    <w:basedOn w:val="Standard"/>
    <w:link w:val="FuzeileZchn"/>
    <w:uiPriority w:val="99"/>
    <w:unhideWhenUsed/>
    <w:rsid w:val="007E48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4820"/>
  </w:style>
  <w:style w:type="paragraph" w:styleId="Listenabsatz">
    <w:name w:val="List Paragraph"/>
    <w:basedOn w:val="Standard"/>
    <w:uiPriority w:val="34"/>
    <w:qFormat/>
    <w:rsid w:val="00DD220E"/>
    <w:pPr>
      <w:spacing w:after="0" w:line="240" w:lineRule="auto"/>
      <w:ind w:left="720"/>
    </w:pPr>
    <w:rPr>
      <w:rFonts w:ascii="Calibri" w:hAnsi="Calibri" w:cs="Times New Roman"/>
    </w:rPr>
  </w:style>
  <w:style w:type="paragraph" w:styleId="StandardWeb">
    <w:name w:val="Normal (Web)"/>
    <w:basedOn w:val="Standard"/>
    <w:uiPriority w:val="99"/>
    <w:unhideWhenUsed/>
    <w:rsid w:val="00AB249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B249D"/>
    <w:rPr>
      <w:b/>
      <w:bCs/>
    </w:rPr>
  </w:style>
  <w:style w:type="paragraph" w:styleId="Funotentext">
    <w:name w:val="footnote text"/>
    <w:basedOn w:val="Standard"/>
    <w:link w:val="FunotentextZchn"/>
    <w:uiPriority w:val="99"/>
    <w:semiHidden/>
    <w:unhideWhenUsed/>
    <w:rsid w:val="00334C3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34C31"/>
    <w:rPr>
      <w:sz w:val="20"/>
      <w:szCs w:val="20"/>
    </w:rPr>
  </w:style>
  <w:style w:type="character" w:styleId="Funotenzeichen">
    <w:name w:val="footnote reference"/>
    <w:basedOn w:val="Absatz-Standardschriftart"/>
    <w:uiPriority w:val="99"/>
    <w:semiHidden/>
    <w:unhideWhenUsed/>
    <w:rsid w:val="00334C31"/>
    <w:rPr>
      <w:vertAlign w:val="superscript"/>
    </w:rPr>
  </w:style>
  <w:style w:type="character" w:styleId="Kommentarzeichen">
    <w:name w:val="annotation reference"/>
    <w:basedOn w:val="Absatz-Standardschriftart"/>
    <w:uiPriority w:val="99"/>
    <w:semiHidden/>
    <w:unhideWhenUsed/>
    <w:rsid w:val="00D22EB6"/>
    <w:rPr>
      <w:sz w:val="16"/>
      <w:szCs w:val="16"/>
    </w:rPr>
  </w:style>
  <w:style w:type="paragraph" w:styleId="Kommentartext">
    <w:name w:val="annotation text"/>
    <w:basedOn w:val="Standard"/>
    <w:link w:val="KommentartextZchn"/>
    <w:uiPriority w:val="99"/>
    <w:semiHidden/>
    <w:unhideWhenUsed/>
    <w:rsid w:val="00D22E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2EB6"/>
    <w:rPr>
      <w:sz w:val="20"/>
      <w:szCs w:val="20"/>
    </w:rPr>
  </w:style>
  <w:style w:type="paragraph" w:styleId="Sprechblasentext">
    <w:name w:val="Balloon Text"/>
    <w:basedOn w:val="Standard"/>
    <w:link w:val="SprechblasentextZchn"/>
    <w:uiPriority w:val="99"/>
    <w:semiHidden/>
    <w:unhideWhenUsed/>
    <w:rsid w:val="00D22E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EB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F14B99"/>
    <w:rPr>
      <w:b/>
      <w:bCs/>
    </w:rPr>
  </w:style>
  <w:style w:type="character" w:customStyle="1" w:styleId="KommentarthemaZchn">
    <w:name w:val="Kommentarthema Zchn"/>
    <w:basedOn w:val="KommentartextZchn"/>
    <w:link w:val="Kommentarthema"/>
    <w:uiPriority w:val="99"/>
    <w:semiHidden/>
    <w:rsid w:val="00F14B99"/>
    <w:rPr>
      <w:b/>
      <w:bCs/>
      <w:sz w:val="20"/>
      <w:szCs w:val="20"/>
    </w:rPr>
  </w:style>
  <w:style w:type="paragraph" w:styleId="berarbeitung">
    <w:name w:val="Revision"/>
    <w:hidden/>
    <w:uiPriority w:val="99"/>
    <w:semiHidden/>
    <w:rsid w:val="00555771"/>
    <w:pPr>
      <w:spacing w:after="0" w:line="240" w:lineRule="auto"/>
    </w:pPr>
  </w:style>
  <w:style w:type="paragraph" w:styleId="NurText">
    <w:name w:val="Plain Text"/>
    <w:basedOn w:val="Standard"/>
    <w:link w:val="NurTextZchn"/>
    <w:uiPriority w:val="99"/>
    <w:unhideWhenUsed/>
    <w:rsid w:val="00900689"/>
    <w:pPr>
      <w:spacing w:after="0" w:line="240" w:lineRule="auto"/>
    </w:pPr>
    <w:rPr>
      <w:rFonts w:ascii="Arial Narrow" w:eastAsia="Calibri" w:hAnsi="Arial Narrow" w:cs="Times New Roman"/>
      <w:szCs w:val="21"/>
    </w:rPr>
  </w:style>
  <w:style w:type="character" w:customStyle="1" w:styleId="NurTextZchn">
    <w:name w:val="Nur Text Zchn"/>
    <w:basedOn w:val="Absatz-Standardschriftart"/>
    <w:link w:val="NurText"/>
    <w:uiPriority w:val="99"/>
    <w:rsid w:val="00900689"/>
    <w:rPr>
      <w:rFonts w:ascii="Arial Narrow" w:eastAsia="Calibri" w:hAnsi="Arial Narrow" w:cs="Times New Roman"/>
      <w:szCs w:val="21"/>
    </w:rPr>
  </w:style>
  <w:style w:type="table" w:styleId="Tabellenraster">
    <w:name w:val="Table Grid"/>
    <w:basedOn w:val="NormaleTabelle"/>
    <w:uiPriority w:val="39"/>
    <w:rsid w:val="0054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4935">
      <w:bodyDiv w:val="1"/>
      <w:marLeft w:val="0"/>
      <w:marRight w:val="0"/>
      <w:marTop w:val="0"/>
      <w:marBottom w:val="0"/>
      <w:divBdr>
        <w:top w:val="none" w:sz="0" w:space="0" w:color="auto"/>
        <w:left w:val="none" w:sz="0" w:space="0" w:color="auto"/>
        <w:bottom w:val="none" w:sz="0" w:space="0" w:color="auto"/>
        <w:right w:val="none" w:sz="0" w:space="0" w:color="auto"/>
      </w:divBdr>
    </w:div>
    <w:div w:id="1396011428">
      <w:bodyDiv w:val="1"/>
      <w:marLeft w:val="0"/>
      <w:marRight w:val="0"/>
      <w:marTop w:val="0"/>
      <w:marBottom w:val="0"/>
      <w:divBdr>
        <w:top w:val="none" w:sz="0" w:space="0" w:color="auto"/>
        <w:left w:val="none" w:sz="0" w:space="0" w:color="auto"/>
        <w:bottom w:val="none" w:sz="0" w:space="0" w:color="auto"/>
        <w:right w:val="none" w:sz="0" w:space="0" w:color="auto"/>
      </w:divBdr>
    </w:div>
    <w:div w:id="174857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341DD-A11A-40A6-9A7C-91CADB5F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10633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Kuhlmann [SPECTARIS]</dc:creator>
  <cp:keywords/>
  <dc:description/>
  <cp:lastModifiedBy>Marcus Kuhlmann [SPECTARIS]</cp:lastModifiedBy>
  <cp:revision>2</cp:revision>
  <cp:lastPrinted>2020-10-30T15:04:00Z</cp:lastPrinted>
  <dcterms:created xsi:type="dcterms:W3CDTF">2021-02-15T15:38:00Z</dcterms:created>
  <dcterms:modified xsi:type="dcterms:W3CDTF">2021-02-15T15:38:00Z</dcterms:modified>
</cp:coreProperties>
</file>